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56" w:rsidRDefault="003D284E">
      <w:pPr>
        <w:spacing w:line="28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УЧРЕЖДЕНИЕ</w:t>
      </w:r>
    </w:p>
    <w:p w:rsidR="009E6D56" w:rsidRDefault="003D284E">
      <w:pPr>
        <w:spacing w:line="280" w:lineRule="exact"/>
        <w:jc w:val="center"/>
      </w:pPr>
      <w:r>
        <w:t xml:space="preserve">«МИНСКИЙ ОБЛАСТНОЙ ЦЕНТР ГИГИЕНЫ, ЭПИДЕМИОЛОГИИ И </w:t>
      </w:r>
      <w:r>
        <w:br/>
        <w:t>ОБЩЕСТВЕННОГО ЗДОРОВЬЯ»</w:t>
      </w:r>
    </w:p>
    <w:p w:rsidR="009E6D56" w:rsidRDefault="009E6D56">
      <w:pPr>
        <w:spacing w:line="280" w:lineRule="exact"/>
        <w:jc w:val="center"/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9E6D56">
      <w:pPr>
        <w:jc w:val="right"/>
        <w:rPr>
          <w:i/>
        </w:rPr>
      </w:pPr>
    </w:p>
    <w:p w:rsidR="009E6D56" w:rsidRDefault="003D284E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ПРОГРАММА</w:t>
      </w:r>
    </w:p>
    <w:p w:rsidR="009E6D56" w:rsidRDefault="003D284E">
      <w:pPr>
        <w:jc w:val="center"/>
        <w:rPr>
          <w:sz w:val="36"/>
          <w:szCs w:val="36"/>
        </w:rPr>
      </w:pPr>
      <w:r>
        <w:rPr>
          <w:sz w:val="36"/>
          <w:szCs w:val="36"/>
        </w:rPr>
        <w:t>достижения показателя Цели устойчивого развития</w:t>
      </w:r>
    </w:p>
    <w:p w:rsidR="009E6D56" w:rsidRDefault="009E6D56">
      <w:pPr>
        <w:jc w:val="center"/>
        <w:rPr>
          <w:sz w:val="36"/>
          <w:szCs w:val="36"/>
        </w:rPr>
      </w:pPr>
    </w:p>
    <w:p w:rsidR="009E6D56" w:rsidRDefault="003D284E">
      <w:pPr>
        <w:jc w:val="center"/>
        <w:rPr>
          <w:b/>
          <w:sz w:val="36"/>
          <w:szCs w:val="36"/>
        </w:rPr>
        <w:sectPr w:rsidR="009E6D56">
          <w:pgSz w:w="11906" w:h="16838"/>
          <w:pgMar w:top="1134" w:right="566" w:bottom="1134" w:left="1701" w:header="0" w:footer="0" w:gutter="0"/>
          <w:cols w:space="720"/>
          <w:formProt w:val="0"/>
          <w:docGrid w:linePitch="100"/>
        </w:sectPr>
      </w:pPr>
      <w:r>
        <w:rPr>
          <w:b/>
          <w:sz w:val="36"/>
          <w:szCs w:val="36"/>
        </w:rPr>
        <w:t>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</w:t>
      </w:r>
    </w:p>
    <w:p w:rsidR="009E6D56" w:rsidRDefault="003D284E">
      <w:pPr>
        <w:jc w:val="center"/>
        <w:rPr>
          <w:rFonts w:cs="Times New Roman"/>
          <w:b/>
          <w:bCs/>
          <w:szCs w:val="30"/>
        </w:rPr>
      </w:pPr>
      <w:r>
        <w:rPr>
          <w:rFonts w:cs="Times New Roman"/>
          <w:b/>
          <w:bCs/>
          <w:szCs w:val="30"/>
        </w:rPr>
        <w:lastRenderedPageBreak/>
        <w:t>Введение</w:t>
      </w:r>
    </w:p>
    <w:p w:rsidR="009E6D56" w:rsidRDefault="009E6D56">
      <w:pPr>
        <w:jc w:val="both"/>
        <w:rPr>
          <w:rFonts w:cs="Times New Roman"/>
          <w:b/>
          <w:bCs/>
          <w:szCs w:val="30"/>
        </w:rPr>
      </w:pPr>
    </w:p>
    <w:p w:rsidR="009E6D56" w:rsidRDefault="003D284E">
      <w:pPr>
        <w:ind w:firstLine="68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«…Мы ослабим негативное влияние…деятельности и химических веществ, которые вредны для здоровья людей и окружающей среды…С</w:t>
      </w:r>
      <w:r>
        <w:rPr>
          <w:rFonts w:cs="Times New Roman"/>
          <w:szCs w:val="28"/>
        </w:rPr>
        <w:t>ледует отметить реализацию в стране пятилетних государственных программ «Чистая вода», направленных на обеспечение бесперебойного снабжения населения качественной питьевой водой…».</w:t>
      </w:r>
    </w:p>
    <w:p w:rsidR="009E6D56" w:rsidRDefault="003D284E">
      <w:pPr>
        <w:ind w:left="1701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   Из  материалов Национального координатора по достижению Целей устойчивого развития «</w:t>
      </w:r>
      <w:r>
        <w:rPr>
          <w:rFonts w:cs="Times New Roman"/>
          <w:bCs/>
          <w:i/>
          <w:szCs w:val="24"/>
        </w:rPr>
        <w:t>Cтартовые позиции Беларуси по достижению Целей устойчивого развития» г. Минск, 2016 г. (стр. 18, 108).</w:t>
      </w:r>
    </w:p>
    <w:p w:rsidR="009E6D56" w:rsidRDefault="009E6D56">
      <w:pPr>
        <w:ind w:left="2694"/>
        <w:jc w:val="both"/>
        <w:rPr>
          <w:rFonts w:cs="Times New Roman"/>
          <w:szCs w:val="24"/>
        </w:rPr>
      </w:pPr>
    </w:p>
    <w:p w:rsidR="009E6D56" w:rsidRDefault="003D284E">
      <w:pPr>
        <w:tabs>
          <w:tab w:val="left" w:pos="284"/>
          <w:tab w:val="left" w:pos="426"/>
          <w:tab w:val="left" w:pos="709"/>
        </w:tabs>
        <w:ind w:firstLine="737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25-27 сентября 2015 года </w:t>
      </w:r>
      <w:r>
        <w:rPr>
          <w:rFonts w:cs="Times New Roman"/>
          <w:szCs w:val="28"/>
        </w:rPr>
        <w:t xml:space="preserve">Генеральная Ассамблея </w:t>
      </w:r>
      <w:r>
        <w:rPr>
          <w:rFonts w:cs="Times New Roman"/>
          <w:bCs/>
          <w:szCs w:val="28"/>
        </w:rPr>
        <w:t xml:space="preserve">ООН рассмотрела   </w:t>
      </w:r>
      <w:r>
        <w:rPr>
          <w:rFonts w:cs="Times New Roman"/>
          <w:szCs w:val="28"/>
        </w:rPr>
        <w:t xml:space="preserve">«Повестку дня в области устойчивого развития на период до 2030 года» (Повестка-2030),  утвердила 17 Целей  устойчивого развития (ЦУР) и 169 подчиненных им задач. </w:t>
      </w:r>
    </w:p>
    <w:p w:rsidR="009E6D56" w:rsidRDefault="003D284E">
      <w:pPr>
        <w:tabs>
          <w:tab w:val="left" w:pos="284"/>
          <w:tab w:val="left" w:pos="426"/>
          <w:tab w:val="left" w:pos="709"/>
        </w:tabs>
        <w:ind w:firstLine="73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ЦУР №3</w:t>
      </w:r>
      <w:r>
        <w:rPr>
          <w:rFonts w:cs="Times New Roman"/>
          <w:szCs w:val="28"/>
        </w:rPr>
        <w:t xml:space="preserve"> посвящена обеспечению здорового образа жизни и содействия благополучию для всех в любом возрасте.</w:t>
      </w:r>
    </w:p>
    <w:p w:rsidR="009E6D56" w:rsidRDefault="003D284E">
      <w:pPr>
        <w:pStyle w:val="af2"/>
        <w:ind w:left="0" w:firstLine="737"/>
        <w:jc w:val="both"/>
        <w:rPr>
          <w:rFonts w:cs="Times New Roman"/>
          <w:szCs w:val="28"/>
        </w:rPr>
      </w:pPr>
      <w:r>
        <w:rPr>
          <w:b/>
          <w:szCs w:val="28"/>
        </w:rPr>
        <w:t xml:space="preserve">Задача в области ЦУР 3.9.  </w:t>
      </w:r>
      <w:r>
        <w:rPr>
          <w:szCs w:val="28"/>
        </w:rPr>
        <w:t>«К 2030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воздуха, воды и почв».</w:t>
      </w:r>
    </w:p>
    <w:p w:rsidR="009E6D56" w:rsidRDefault="003D284E">
      <w:pPr>
        <w:pStyle w:val="af2"/>
        <w:ind w:left="0" w:firstLine="737"/>
        <w:jc w:val="both"/>
        <w:rPr>
          <w:rFonts w:cs="Times New Roman"/>
          <w:szCs w:val="28"/>
        </w:rPr>
      </w:pPr>
      <w:r>
        <w:rPr>
          <w:b/>
          <w:szCs w:val="28"/>
        </w:rPr>
        <w:t>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всех)».</w:t>
      </w:r>
    </w:p>
    <w:p w:rsidR="009E6D56" w:rsidRDefault="003D284E">
      <w:pPr>
        <w:ind w:firstLine="737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Всемирная организация здравоохранения (ВОЗ) в письме государствам-членам </w:t>
      </w:r>
      <w:r>
        <w:rPr>
          <w:rFonts w:cs="Times New Roman"/>
          <w:i/>
          <w:color w:val="000000"/>
          <w:szCs w:val="28"/>
        </w:rPr>
        <w:t>(по Министерству здравоохранения Республики Беларусь вх. № 367 от 11.01.2018 г.)</w:t>
      </w:r>
      <w:r>
        <w:rPr>
          <w:rFonts w:cs="Times New Roman"/>
          <w:color w:val="000000"/>
          <w:szCs w:val="28"/>
        </w:rPr>
        <w:t xml:space="preserve"> уведомила, что на основании  резолюции </w:t>
      </w:r>
      <w:r>
        <w:rPr>
          <w:rFonts w:cs="Times New Roman"/>
          <w:color w:val="000000"/>
          <w:szCs w:val="28"/>
          <w:lang w:val="en-US"/>
        </w:rPr>
        <w:t>WHA</w:t>
      </w:r>
      <w:r>
        <w:rPr>
          <w:rFonts w:cs="Times New Roman"/>
          <w:color w:val="000000"/>
          <w:szCs w:val="28"/>
        </w:rPr>
        <w:t>68.8 и дорожной карты по усилению глобальных ответных мер в связи с негативным воздействием воздуха на здоровье, а также представленную ВОЗ на Шестьдесят девятой сессии Всемирной ассамблеи здравоохранения согласованную государствами-членами  «Повестку дня в области устойчивого развития на период до 2030 года», Межучрежденческая группа экспертов (МГЭ) по показателям достижения Целей устойчивого развития (ЦУР) определила ВОЗ в качестве учреждения-куратора, отвечающего за сбор и предоставление данных в отношении 4 официальных глобальных показателей достижения Целей в области устойчивого развития, связанных со смертностью от экологических факторов риска, и показателей достижения ЦУР, связанных с загрязнением воздуха (далее – показатели ЦУР, курируемые ВОЗ).</w:t>
      </w:r>
    </w:p>
    <w:p w:rsidR="009E6D56" w:rsidRDefault="003D284E">
      <w:pPr>
        <w:ind w:firstLine="737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В соответствии с указанием МГЭ-ЦУР, международные учреждения, отвечающие за составление оценок в отношении показателей ЦУР по </w:t>
      </w:r>
      <w:r>
        <w:rPr>
          <w:rFonts w:cs="Times New Roman"/>
          <w:color w:val="000000"/>
          <w:szCs w:val="28"/>
        </w:rPr>
        <w:lastRenderedPageBreak/>
        <w:t>странам, должны проводить со странами консультации относительно интерпретации страновых данных и их использования в составе глобальных оценок и отчетности.</w:t>
      </w:r>
    </w:p>
    <w:p w:rsidR="009E6D56" w:rsidRDefault="003D284E">
      <w:pPr>
        <w:ind w:firstLine="737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В числе показателей ЦУР, курируемых ВОЗ, в рамках задач 3. определен показатель </w:t>
      </w:r>
      <w:r>
        <w:rPr>
          <w:b/>
          <w:szCs w:val="28"/>
        </w:rPr>
        <w:t xml:space="preserve">3.9.2. </w:t>
      </w:r>
      <w:r>
        <w:rPr>
          <w:szCs w:val="28"/>
        </w:rPr>
        <w:t>«</w:t>
      </w:r>
      <w:r>
        <w:rPr>
          <w:b/>
          <w:szCs w:val="28"/>
        </w:rPr>
        <w:t xml:space="preserve">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 </w:t>
      </w:r>
      <w:r>
        <w:rPr>
          <w:rFonts w:cs="Times New Roman"/>
          <w:color w:val="000000"/>
          <w:szCs w:val="28"/>
        </w:rPr>
        <w:t xml:space="preserve"> (далее – показатель ЦУР 3.9.2.).</w:t>
      </w:r>
    </w:p>
    <w:p w:rsidR="009E6D56" w:rsidRDefault="009E6D56">
      <w:pPr>
        <w:ind w:firstLine="737"/>
        <w:jc w:val="both"/>
        <w:rPr>
          <w:szCs w:val="28"/>
        </w:rPr>
      </w:pPr>
    </w:p>
    <w:p w:rsidR="009E6D56" w:rsidRDefault="003D284E">
      <w:pPr>
        <w:widowControl w:val="0"/>
        <w:tabs>
          <w:tab w:val="left" w:pos="1134"/>
        </w:tabs>
        <w:jc w:val="center"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</w:rPr>
        <w:t>Ориентиры ВОЗ об угрозах и источников рисков популяционных здоровью и данных для подготовки глобальных докладов по показателю ЦУР 3.9.2.</w:t>
      </w:r>
    </w:p>
    <w:p w:rsidR="009E6D56" w:rsidRDefault="003D284E">
      <w:pPr>
        <w:ind w:firstLine="851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Обеспечение равного доступа населения к питьевой воде</w:t>
      </w:r>
      <w:r>
        <w:rPr>
          <w:rStyle w:val="a8"/>
          <w:rFonts w:eastAsia="Calibri" w:cs="Times New Roman"/>
          <w:szCs w:val="30"/>
        </w:rPr>
        <w:footnoteReference w:id="1"/>
      </w:r>
      <w:r>
        <w:rPr>
          <w:rFonts w:eastAsia="Calibri" w:cs="Times New Roman"/>
          <w:szCs w:val="30"/>
        </w:rPr>
        <w:t>, безопасно управляемым системам питьевого водоснабжения и водоотведения, устройствам для соблюдение гигиены, является одним из существенных факторов и эффективных инструментов профилактики заболеваний, связанных с качеством среды обитания населения, и неотъемлемым условием устойчивого роста экономического потенциала страны.</w:t>
      </w:r>
    </w:p>
    <w:p w:rsidR="009E6D56" w:rsidRDefault="003D284E">
      <w:pPr>
        <w:ind w:firstLine="851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Поэтому ВОЗ, выступающая учреждением-куратором предусмотренных в Целях устойчивого развития (ЦУР) задач, касающихся питьевого водоснабжения, санитарии и гигиены,  декларирует, что обеспечение всеобщего доступа к качественной и безопасной питьевой воде и   санитарно-гигиеническим средствам оказывает прямое влияние на такие демографические показатели, как заболеваемость населения (инфекционную и неинфекционную) и смертность. </w:t>
      </w:r>
    </w:p>
    <w:p w:rsidR="009E6D56" w:rsidRDefault="003D284E">
      <w:pPr>
        <w:ind w:firstLine="851"/>
        <w:contextualSpacing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В условиях антисанитарии и отсутствия устойчивых источников безопасной воды невозможно добиться решения существующих проблем во многих других областях, которым посвящены ЦУР,  например,  в таких, как здравоохранение, образование и сокращение масштабов нищеты. Плохое качество воды и неадекватные санитарно-гигиенические условия также негативно сказываются на продовольственной безопасности и  выборе средств к существованию. </w:t>
      </w:r>
    </w:p>
    <w:p w:rsidR="009E6D56" w:rsidRDefault="003D284E">
      <w:pPr>
        <w:ind w:firstLine="851"/>
        <w:jc w:val="both"/>
        <w:rPr>
          <w:b/>
          <w:sz w:val="36"/>
          <w:szCs w:val="36"/>
        </w:rPr>
      </w:pPr>
      <w:r>
        <w:rPr>
          <w:rFonts w:eastAsia="Calibri" w:cs="Times New Roman"/>
          <w:szCs w:val="30"/>
        </w:rPr>
        <w:t>Несмотря на предпринимаемые в глобальном масштабе усилия в рамках Ц</w:t>
      </w:r>
      <w:r>
        <w:rPr>
          <w:rFonts w:eastAsia="Times New Roman" w:cs="Times New Roman"/>
          <w:szCs w:val="30"/>
          <w:lang w:eastAsia="zh-CN"/>
        </w:rPr>
        <w:t xml:space="preserve">елей в </w:t>
      </w:r>
      <w:hyperlink r:id="rId8">
        <w:r>
          <w:rPr>
            <w:rFonts w:eastAsia="Times New Roman" w:cs="Times New Roman"/>
            <w:szCs w:val="30"/>
            <w:lang w:eastAsia="zh-CN"/>
          </w:rPr>
          <w:t>развития</w:t>
        </w:r>
      </w:hyperlink>
      <w:r>
        <w:rPr>
          <w:rFonts w:eastAsia="Times New Roman" w:cs="Times New Roman"/>
          <w:szCs w:val="30"/>
          <w:lang w:eastAsia="zh-CN"/>
        </w:rPr>
        <w:t xml:space="preserve"> тысячелетия до 2015 г., именно цели в области питьевого водоснабжения не были достигнуты в мировом контексте. И от</w:t>
      </w:r>
      <w:r>
        <w:rPr>
          <w:rFonts w:eastAsia="Calibri" w:cs="Times New Roman"/>
          <w:szCs w:val="30"/>
        </w:rPr>
        <w:t xml:space="preserve">сутствие доступа населения к безопасным услугам в области водоснабжения, санитарии и гигиены  по-прежнему остается сложной проблемой в масштабах планеты, являясь причинами избыточной смертности населения. </w:t>
      </w:r>
    </w:p>
    <w:p w:rsidR="009E6D56" w:rsidRDefault="003D284E">
      <w:pPr>
        <w:ind w:firstLine="851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lastRenderedPageBreak/>
        <w:t>Обеспечение равного доступа к питьевой воде и санитарно-гигиеническим средствам и предоставления этих услуг с соблюдением требований безопасности по-прежнему остается сложной проблемой, тогда как от ее решения зависит дальнейший прогресс в областях здравоохранения, образования и ликвидации нищеты.</w:t>
      </w:r>
    </w:p>
    <w:p w:rsidR="009E6D56" w:rsidRDefault="003D284E">
      <w:pPr>
        <w:ind w:firstLine="851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В части обеспечения безопасных услуг в области санитарии и гигиены для всех Всемирная организация здравоохранения (ВОЗ) сформировала систему базовых услуг (</w:t>
      </w:r>
      <w:r>
        <w:rPr>
          <w:rFonts w:eastAsia="Calibri" w:cs="Times New Roman"/>
          <w:szCs w:val="30"/>
          <w:lang w:val="en-US"/>
        </w:rPr>
        <w:t>WASH</w:t>
      </w:r>
      <w:r>
        <w:rPr>
          <w:rFonts w:eastAsia="Calibri" w:cs="Times New Roman"/>
          <w:szCs w:val="30"/>
        </w:rPr>
        <w:t>), взаимодействуя при этом, с ЮНИСЕФ через Совместную программу мониторинга водоснабжения, санитарии и гигиены (СМП).</w:t>
      </w:r>
    </w:p>
    <w:p w:rsidR="009E6D56" w:rsidRDefault="003D284E">
      <w:pPr>
        <w:ind w:firstLine="851"/>
        <w:jc w:val="both"/>
        <w:rPr>
          <w:rFonts w:eastAsia="Times New Roman" w:cs="Times New Roman"/>
          <w:color w:val="000000"/>
          <w:spacing w:val="-1"/>
          <w:szCs w:val="30"/>
        </w:rPr>
      </w:pPr>
      <w:r>
        <w:rPr>
          <w:rFonts w:eastAsia="Calibri" w:cs="Times New Roman"/>
          <w:szCs w:val="30"/>
        </w:rPr>
        <w:t xml:space="preserve">В  частности, на СМП возложена конкретно обязанность вести мониторинг глобального прогресса в реализации задач  касающейся санитарии и гигиены для всех как дома, так и в местах вне дома, при этом </w:t>
      </w:r>
      <w:r>
        <w:rPr>
          <w:rFonts w:eastAsia="Times New Roman" w:cs="Times New Roman"/>
          <w:color w:val="000000"/>
          <w:spacing w:val="-1"/>
          <w:szCs w:val="30"/>
        </w:rPr>
        <w:t xml:space="preserve"> в рамках данного мониторинга оценки  даются отдельно для городских и для сельских  населенных пунктов.</w:t>
      </w:r>
    </w:p>
    <w:p w:rsidR="009E6D56" w:rsidRDefault="003D284E">
      <w:pPr>
        <w:widowControl w:val="0"/>
        <w:ind w:firstLine="851"/>
        <w:jc w:val="both"/>
        <w:rPr>
          <w:rFonts w:eastAsia="Times New Roman" w:cs="Times New Roman"/>
          <w:color w:val="000000"/>
          <w:spacing w:val="-1"/>
          <w:szCs w:val="30"/>
        </w:rPr>
      </w:pPr>
      <w:r>
        <w:rPr>
          <w:rFonts w:eastAsia="Times New Roman" w:cs="Times New Roman"/>
          <w:color w:val="000000"/>
          <w:spacing w:val="-1"/>
          <w:szCs w:val="30"/>
        </w:rPr>
        <w:t xml:space="preserve">В Европейском регионе в </w:t>
      </w:r>
      <w:r>
        <w:rPr>
          <w:rFonts w:eastAsia="Calibri" w:cs="Times New Roman"/>
          <w:szCs w:val="30"/>
        </w:rPr>
        <w:t>г. Лондоне 17 июня 1999 года</w:t>
      </w:r>
      <w:r>
        <w:rPr>
          <w:rFonts w:eastAsia="Times New Roman" w:cs="Times New Roman"/>
          <w:color w:val="000000"/>
          <w:spacing w:val="-1"/>
          <w:szCs w:val="30"/>
        </w:rPr>
        <w:t xml:space="preserve"> был принят </w:t>
      </w:r>
      <w:r>
        <w:rPr>
          <w:rFonts w:eastAsia="Calibri" w:cs="Times New Roman"/>
          <w:szCs w:val="30"/>
        </w:rPr>
        <w:t xml:space="preserve">международный </w:t>
      </w:r>
      <w:r>
        <w:rPr>
          <w:rFonts w:eastAsia="Times New Roman" w:cs="Times New Roman"/>
          <w:color w:val="000000"/>
          <w:spacing w:val="-1"/>
          <w:szCs w:val="30"/>
        </w:rPr>
        <w:t xml:space="preserve">политический инструмент –  </w:t>
      </w:r>
      <w:r>
        <w:rPr>
          <w:rFonts w:eastAsia="Calibri" w:cs="Times New Roman"/>
          <w:szCs w:val="30"/>
        </w:rPr>
        <w:t xml:space="preserve">ЕЭК ООН/Евро-ВОЗ Протоколе по проблемам воды и здоровья к Конвенции по охране и использованию трансграничных водотоков и международных озер 1992. (далее – Протокол). </w:t>
      </w:r>
    </w:p>
    <w:p w:rsidR="009E6D56" w:rsidRDefault="003D284E">
      <w:pPr>
        <w:widowControl w:val="0"/>
        <w:ind w:firstLine="851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Основная цель Протокола – охрана здоровья человека и обеспечение его благополучия путем более рационального использования водных ресурсов, повышения качества и безопасности питьевой воды, ограничение и сокращение распространения заболеваний, обусловленных потреблением недоброкачественной питьевой воды, обеспечение безопасных рекреационных зон, в том числе в трансграничном контексте, замкнутых вод, общедоступных для купания.</w:t>
      </w:r>
    </w:p>
    <w:p w:rsidR="009E6D56" w:rsidRDefault="003D284E">
      <w:pPr>
        <w:widowControl w:val="0"/>
        <w:ind w:firstLine="851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Достижение поставленных Протоколом целей осуществляется посредством разработки плана по реализации Протокола на национальном уровне, установлением и опубликованием перечня целевых показателей в отношении норм и уровней результативности, указанных в пункте 2 статьи 6 Протокола, а также контрольных сроков их достижения. Каждая страна сама определяет области, в которых ей необходимо установить целевые показатели (проблемные области в п. 2 статьи 6 Протокола). </w:t>
      </w:r>
    </w:p>
    <w:p w:rsidR="009E6D56" w:rsidRDefault="003D284E">
      <w:pPr>
        <w:widowControl w:val="0"/>
        <w:ind w:firstLine="851"/>
        <w:jc w:val="both"/>
        <w:rPr>
          <w:rFonts w:eastAsia="Calibri" w:cs="Times New Roman"/>
          <w:bCs/>
          <w:szCs w:val="30"/>
        </w:rPr>
      </w:pPr>
      <w:r>
        <w:rPr>
          <w:rFonts w:eastAsia="Calibri" w:cs="Times New Roman"/>
          <w:szCs w:val="30"/>
        </w:rPr>
        <w:t xml:space="preserve">Приоритетными программными областями деятельности в регионе по Протоколу в настоящее время являются: улучшение управления в области воды и здоровья: поддержка установления целевых показателей и реализации мероприятий по их достижению; </w:t>
      </w:r>
      <w:r>
        <w:rPr>
          <w:rFonts w:eastAsia="Calibri" w:cs="Times New Roman"/>
          <w:bCs/>
          <w:szCs w:val="30"/>
        </w:rPr>
        <w:t xml:space="preserve">предотвращение и снижение уровня заболеваний, связанных с водой (координаторы – Республика Беларусь и Норвегия); вода, санитария и гигиена в общественных учреждениях; маломасштабное водоснабжение и санитария; безопасное и эффективное управление системами водоснабжения и санитарии; равный </w:t>
      </w:r>
      <w:r>
        <w:rPr>
          <w:rFonts w:eastAsia="Calibri" w:cs="Times New Roman"/>
          <w:bCs/>
          <w:szCs w:val="30"/>
        </w:rPr>
        <w:lastRenderedPageBreak/>
        <w:t>доступ к воде и санитарии; повышение устойчивости к изменениям климата.</w:t>
      </w:r>
    </w:p>
    <w:p w:rsidR="009E6D56" w:rsidRDefault="003D284E">
      <w:pPr>
        <w:widowControl w:val="0"/>
        <w:ind w:firstLine="851"/>
        <w:jc w:val="both"/>
        <w:rPr>
          <w:rFonts w:eastAsia="Times New Roman" w:cs="Times New Roman"/>
          <w:szCs w:val="30"/>
          <w:lang w:eastAsia="zh-CN"/>
        </w:rPr>
      </w:pPr>
      <w:r>
        <w:rPr>
          <w:rFonts w:eastAsia="Calibri" w:cs="Times New Roman"/>
          <w:szCs w:val="30"/>
        </w:rPr>
        <w:t xml:space="preserve">В европейском регионе ВОЗ предлагает использовать Протокол как инструмент реализации ЦУР в области водоснабжения, водоотведения и гигиены. </w:t>
      </w:r>
      <w:r>
        <w:rPr>
          <w:rFonts w:eastAsia="Times New Roman" w:cs="Times New Roman"/>
          <w:szCs w:val="30"/>
          <w:lang w:eastAsia="zh-CN"/>
        </w:rPr>
        <w:t>Республика Беларусь присоединилась к Протоколу Указом Президента Республики Беларусь от 31.03.2009 № 159, Минздрав и Минприроды определены органами, ответственными за выполнение обязательств, принятых Республикой Беларусь по Протоколу.</w:t>
      </w:r>
    </w:p>
    <w:p w:rsidR="009E6D56" w:rsidRDefault="003D284E">
      <w:pPr>
        <w:widowControl w:val="0"/>
        <w:ind w:firstLine="851"/>
        <w:jc w:val="both"/>
        <w:rPr>
          <w:rFonts w:eastAsia="Calibri" w:cs="Times New Roman"/>
        </w:rPr>
      </w:pPr>
      <w:r>
        <w:rPr>
          <w:rFonts w:eastAsia="Times New Roman" w:cs="Times New Roman"/>
          <w:szCs w:val="30"/>
          <w:lang w:eastAsia="zh-CN"/>
        </w:rPr>
        <w:t>Также следует отметить, что ВОЗ в качестве инструмента практического обеспечения безопасности питьевого водоснабжения и санитарии пропагандирует внедрение анализа рисков в системах водоснабжения и водоотведения, например, Планов обеспечения безопасности воды и санитарии. Особой ценностью обладает тот факт, что эти планы можно применять для систем любого размера и уровня развития, адаптировав их под нужды и особенности системы водоснабжения (водоотведения). Во многих случаях они могут быть достаточно простыми и ориентированными на основные опасности, выявленные для данной конкретной  системы питьевого водоснабжения. Во многих странах они внедрены законодательно на обязательной или добровольной основе, в том числе, в рамках ЕС – дополнения в</w:t>
      </w:r>
      <w:r>
        <w:rPr>
          <w:rFonts w:eastAsia="Calibri" w:cs="Times New Roman"/>
        </w:rPr>
        <w:t xml:space="preserve"> Директиву Совета Европейского Союза 98/83/ЕС от 3 ноября 1998 г. «о качестве воды, предназначенной для потребления людьми» (дополнение 2015 г.).</w:t>
      </w:r>
    </w:p>
    <w:p w:rsidR="009E6D56" w:rsidRDefault="009E6D56">
      <w:pPr>
        <w:ind w:firstLine="567"/>
        <w:jc w:val="both"/>
        <w:rPr>
          <w:rFonts w:cs="Times New Roman"/>
          <w:b/>
          <w:color w:val="000000"/>
          <w:szCs w:val="30"/>
        </w:rPr>
      </w:pPr>
    </w:p>
    <w:p w:rsidR="009E6D56" w:rsidRDefault="003D284E">
      <w:pPr>
        <w:numPr>
          <w:ilvl w:val="0"/>
          <w:numId w:val="1"/>
        </w:numPr>
        <w:ind w:left="0" w:firstLine="567"/>
        <w:contextualSpacing/>
        <w:jc w:val="center"/>
        <w:rPr>
          <w:rFonts w:eastAsia="Calibri" w:cs="Times New Roman"/>
          <w:b/>
          <w:color w:val="000000"/>
          <w:szCs w:val="30"/>
        </w:rPr>
      </w:pPr>
      <w:r>
        <w:rPr>
          <w:rFonts w:eastAsia="Calibri" w:cs="Times New Roman"/>
          <w:b/>
          <w:color w:val="000000"/>
          <w:szCs w:val="30"/>
        </w:rPr>
        <w:t xml:space="preserve">СТАРТОВЫЕ ПОЗИЦИИ МИНСКОЙ ОБЛАСТИ РАЙОНА ПО ПОКАЗАТЕЛЮ </w:t>
      </w:r>
      <w:r>
        <w:rPr>
          <w:rFonts w:eastAsia="Calibri" w:cs="Times New Roman"/>
          <w:b/>
          <w:szCs w:val="30"/>
        </w:rPr>
        <w:t>3.9.2.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szCs w:val="30"/>
        </w:rPr>
        <w:t>Надзор за питьевым водоснабжением населения Минской области является одним из приоритетных направлений в деятельности учреждений государственного санитарного надзора Минской области.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eastAsia="Times New Roman"/>
          <w:color w:val="000000"/>
          <w:szCs w:val="30"/>
          <w:lang w:eastAsia="ru-RU"/>
        </w:rPr>
        <w:t>Вместе с тем, несмотря на проводимую работу, в 2019 году удельный вес проб воды, не соответствующих гигиеническим нормативам по микробиологическим показателям остался практически на уровне 2018 года.</w:t>
      </w:r>
      <w:r>
        <w:rPr>
          <w:szCs w:val="30"/>
        </w:rPr>
        <w:t xml:space="preserve"> Так, в 2018 году удельный вес проб, несоответствующих по показателям безопасности в коммунальных водопроводах, составил </w:t>
      </w:r>
      <w:r>
        <w:rPr>
          <w:rFonts w:eastAsia="Times New Roman"/>
          <w:color w:val="000000"/>
          <w:szCs w:val="30"/>
          <w:lang w:eastAsia="ru-RU" w:bidi="ru-RU"/>
        </w:rPr>
        <w:t>0,7% (в 2018 г. – 0,8%),</w:t>
      </w:r>
      <w:r>
        <w:rPr>
          <w:szCs w:val="30"/>
        </w:rPr>
        <w:t xml:space="preserve"> в децентрализованных источниках – </w:t>
      </w:r>
      <w:r>
        <w:rPr>
          <w:rFonts w:eastAsia="Times New Roman"/>
          <w:color w:val="000000"/>
          <w:szCs w:val="30"/>
          <w:lang w:eastAsia="ru-RU" w:bidi="ru-RU"/>
        </w:rPr>
        <w:t>17,1% (в 2018 – 20,9%).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szCs w:val="30"/>
        </w:rPr>
        <w:t>Доля нестандартных проб воды по микробиологическим показателям из подземных источников в 2019 году составила для коммунальных– 1,6 % (в 2018 – 1,1 %), для ведомственных – 1,03</w:t>
      </w:r>
      <w:r>
        <w:rPr>
          <w:rFonts w:eastAsia="Times New Roman"/>
          <w:color w:val="000000"/>
          <w:szCs w:val="30"/>
          <w:lang w:eastAsia="ru-RU" w:bidi="ru-RU"/>
        </w:rPr>
        <w:br/>
      </w:r>
      <w:bookmarkStart w:id="0" w:name="_GoBack1"/>
      <w:bookmarkEnd w:id="0"/>
      <w:r>
        <w:rPr>
          <w:rFonts w:eastAsia="Times New Roman"/>
          <w:color w:val="000000"/>
          <w:szCs w:val="30"/>
          <w:lang w:eastAsia="ru-RU" w:bidi="ru-RU"/>
        </w:rPr>
        <w:t xml:space="preserve">(в 2018 </w:t>
      </w:r>
      <w:r>
        <w:rPr>
          <w:szCs w:val="30"/>
        </w:rPr>
        <w:t>– 1,07 %</w:t>
      </w:r>
      <w:r>
        <w:rPr>
          <w:rFonts w:eastAsia="Times New Roman"/>
          <w:color w:val="000000"/>
          <w:szCs w:val="30"/>
          <w:lang w:eastAsia="ru-RU" w:bidi="ru-RU"/>
        </w:rPr>
        <w:t>)</w:t>
      </w:r>
      <w:r>
        <w:rPr>
          <w:szCs w:val="30"/>
        </w:rPr>
        <w:t xml:space="preserve">. 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szCs w:val="30"/>
        </w:rPr>
        <w:t xml:space="preserve">В то же время данные показатели </w:t>
      </w:r>
      <w:r>
        <w:rPr>
          <w:color w:val="000000"/>
          <w:szCs w:val="30"/>
        </w:rPr>
        <w:t xml:space="preserve">ниже </w:t>
      </w:r>
      <w:r>
        <w:rPr>
          <w:szCs w:val="30"/>
        </w:rPr>
        <w:t>среднереспубликанских значений.</w:t>
      </w:r>
    </w:p>
    <w:p w:rsidR="009E6D56" w:rsidRDefault="003D284E">
      <w:pPr>
        <w:pStyle w:val="1"/>
        <w:ind w:firstLine="709"/>
        <w:jc w:val="both"/>
        <w:rPr>
          <w:b/>
          <w:sz w:val="36"/>
          <w:szCs w:val="36"/>
        </w:rPr>
      </w:pPr>
      <w:r>
        <w:rPr>
          <w:rFonts w:eastAsia="Times New Roman"/>
          <w:color w:val="000000"/>
          <w:lang w:eastAsia="ru-RU" w:bidi="ru-RU"/>
        </w:rPr>
        <w:t xml:space="preserve">Существенно не изменилась ситуация и с санитарно-химическими показателями. Причем в 2019 году отмечено увеличение на 2% удельного </w:t>
      </w:r>
      <w:r>
        <w:rPr>
          <w:rFonts w:eastAsia="Times New Roman"/>
          <w:color w:val="000000"/>
          <w:lang w:eastAsia="ru-RU" w:bidi="ru-RU"/>
        </w:rPr>
        <w:lastRenderedPageBreak/>
        <w:t>веса «нестандартных» проб воды по санитарно-химическим показателям, в том числе по содержанию железа, в коммунальных водопроводах.</w:t>
      </w:r>
    </w:p>
    <w:p w:rsidR="009E6D56" w:rsidRDefault="003D284E">
      <w:pPr>
        <w:pStyle w:val="1"/>
        <w:ind w:firstLine="709"/>
        <w:jc w:val="both"/>
        <w:rPr>
          <w:b/>
          <w:sz w:val="36"/>
          <w:szCs w:val="36"/>
        </w:rPr>
      </w:pPr>
      <w:r>
        <w:rPr>
          <w:rFonts w:eastAsia="Times New Roman"/>
          <w:color w:val="000000"/>
          <w:lang w:eastAsia="ru-RU" w:bidi="ru-RU"/>
        </w:rPr>
        <w:t>Так, удельный вес проб воды, не соответствующих гигиеническим нормативам по санитарно-химическим показателям составил: из источников централизованного водоснабжения – 35,6% (в 2018 – 35,2%), из коммунальных водопроводов – 15,1% (в 2018 – 12,6%), из ведомственных водопроводов – 11,0% (в 2018 – 11,2%), из децентрализованных источников – 33,0 % (в 2018 – 35,4 %).</w:t>
      </w:r>
    </w:p>
    <w:p w:rsidR="009E6D56" w:rsidRDefault="003D284E">
      <w:pPr>
        <w:pStyle w:val="1"/>
        <w:ind w:firstLine="709"/>
        <w:jc w:val="both"/>
        <w:rPr>
          <w:b/>
          <w:sz w:val="36"/>
          <w:szCs w:val="36"/>
        </w:rPr>
      </w:pPr>
      <w:r>
        <w:rPr>
          <w:rFonts w:eastAsia="Times New Roman"/>
          <w:color w:val="000000"/>
          <w:lang w:eastAsia="ru-RU"/>
        </w:rPr>
        <w:t>Приоритетными загрязнителями для источников централизованного водоснабжения как коммунальной, так и ведомственной формы собственности является содержание природного железа. Удельный вес «нестандартных» проб из подземных источников по указанному элементу составил 38,0% (в 2018 – 37,7%), из коммунальных водопроводов – 19,0% (в 2018 – 16,2%), из ведомственных – 15,4% (в 2018 – 15,5%)</w:t>
      </w:r>
      <w:r>
        <w:t>, что в целом ниже среднереспубликанских значений.</w:t>
      </w:r>
    </w:p>
    <w:p w:rsidR="009E6D56" w:rsidRDefault="003D284E">
      <w:pPr>
        <w:pStyle w:val="1"/>
        <w:ind w:firstLine="709"/>
        <w:jc w:val="both"/>
        <w:rPr>
          <w:b/>
          <w:sz w:val="36"/>
          <w:szCs w:val="36"/>
        </w:rPr>
      </w:pPr>
      <w:r>
        <w:t xml:space="preserve">Для источников децентрализованного водоснабжения основным проблемным вопросом является повышенное содержание нитратов, причем данная проблема характерна практически для каждого третьего источника децентрализованного водоснабжения. </w:t>
      </w:r>
      <w:r>
        <w:rPr>
          <w:rFonts w:eastAsia="Times New Roman"/>
          <w:color w:val="000000"/>
          <w:lang w:eastAsia="ru-RU"/>
        </w:rPr>
        <w:t>Удельный вес проб воды из источников децентрализованного водоснабжения, не соответствующих гигиеническим нормативам по данному показателю остался на уровне 2018 года и составил 30,4% (в 2018 г. – 30,5 %), однако в 2019 году он ниже среднереспубликанского показателя, который составил – 33,1%.</w:t>
      </w:r>
    </w:p>
    <w:p w:rsidR="009E6D56" w:rsidRDefault="003D284E">
      <w:pPr>
        <w:pStyle w:val="1"/>
        <w:ind w:firstLine="709"/>
        <w:jc w:val="both"/>
        <w:rPr>
          <w:b/>
          <w:sz w:val="36"/>
          <w:szCs w:val="36"/>
        </w:rPr>
      </w:pPr>
      <w:r>
        <w:rPr>
          <w:rFonts w:eastAsia="Times New Roman"/>
          <w:color w:val="000000"/>
          <w:lang w:eastAsia="ru-RU"/>
        </w:rPr>
        <w:t>Продолжена работа по предотвращению негативного воздействия нитратов на организм детей первых трех лет жизни и беременных женщин, выявление «загрязненных источников», в первую очередь децентрализованного водоснабжения, и обеспечение доступа к питьевой воде гарантированного качества.</w:t>
      </w:r>
    </w:p>
    <w:p w:rsidR="009E6D56" w:rsidRDefault="003D284E">
      <w:pPr>
        <w:pStyle w:val="1"/>
        <w:ind w:firstLine="709"/>
        <w:jc w:val="both"/>
        <w:rPr>
          <w:b/>
          <w:sz w:val="36"/>
          <w:szCs w:val="36"/>
        </w:rPr>
      </w:pPr>
      <w:r>
        <w:rPr>
          <w:rFonts w:eastAsia="Times New Roman"/>
          <w:color w:val="000000"/>
          <w:lang w:eastAsia="ru-RU"/>
        </w:rPr>
        <w:t>В том числе при взаимодействии с центральными районными больницами (в таких районах как Березинский, Клецкий, Молодечненский, Мядельский, Несвижский, Пуховичский, Слуцкий, Смолевичский) и органами власти.</w:t>
      </w:r>
    </w:p>
    <w:p w:rsidR="009E6D56" w:rsidRDefault="003D284E">
      <w:pPr>
        <w:pStyle w:val="1"/>
        <w:ind w:firstLine="709"/>
        <w:jc w:val="both"/>
        <w:rPr>
          <w:b/>
          <w:sz w:val="36"/>
          <w:szCs w:val="36"/>
        </w:rPr>
      </w:pPr>
      <w:r>
        <w:rPr>
          <w:rFonts w:eastAsia="Times New Roman"/>
          <w:color w:val="000000"/>
          <w:lang w:eastAsia="ru-RU"/>
        </w:rPr>
        <w:t>По данным, предоставленным центральными районными больницами о беременных и детях, использующих в питьевых целях  источники децентрализованного водоснабжения, территориальными центрами гигиены и эпидемиологии проведены исследований качества питьевой воды, с последующим проведением разъяснительной работы с уязвимыми группами населения и информированием органов власти о результатах данных исследований.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szCs w:val="30"/>
        </w:rPr>
        <w:t xml:space="preserve">В целом же, в последние 11 лет можно говорить о положительной динамике в отношении показателей качества и безопасности питьевой воды. В целях улучшения качества питьевой воды на территории Минской </w:t>
      </w:r>
      <w:r>
        <w:rPr>
          <w:szCs w:val="30"/>
        </w:rPr>
        <w:lastRenderedPageBreak/>
        <w:t>области введено в эксплуатацию 145 станций обезжелезивания (включая мобильные фильтрующие установки, объектовые станции очистки и т. д.), в том числе только за 2019 – 59.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szCs w:val="30"/>
        </w:rPr>
        <w:t>Проводимые мероприятия по улучшению качества питьевой воды позволили снизить удельный вес проб, не соответствующих гигиеническим нормативам по санитарно-химическим показателям, в том числе по содержанию железа, подаваемой потребителю с 38,0 %</w:t>
      </w:r>
      <w:r>
        <w:rPr>
          <w:szCs w:val="30"/>
        </w:rPr>
        <w:br/>
        <w:t>(в подземных источниках) до 19,0 % в коммунальных водопроводах и 15,4 % в ведомственных.</w:t>
      </w:r>
    </w:p>
    <w:p w:rsidR="009E6D56" w:rsidRDefault="009E6D56">
      <w:pPr>
        <w:ind w:firstLine="709"/>
        <w:jc w:val="both"/>
        <w:rPr>
          <w:szCs w:val="30"/>
        </w:rPr>
      </w:pPr>
    </w:p>
    <w:p w:rsidR="009E6D56" w:rsidRDefault="003D284E">
      <w:pPr>
        <w:pStyle w:val="af2"/>
        <w:tabs>
          <w:tab w:val="left" w:pos="284"/>
          <w:tab w:val="left" w:pos="426"/>
          <w:tab w:val="left" w:pos="2127"/>
        </w:tabs>
        <w:ind w:left="2110" w:right="-1"/>
        <w:rPr>
          <w:b/>
          <w:szCs w:val="30"/>
        </w:rPr>
      </w:pPr>
      <w:r>
        <w:rPr>
          <w:b/>
          <w:szCs w:val="30"/>
          <w:lang w:val="en-US"/>
        </w:rPr>
        <w:t>II</w:t>
      </w:r>
      <w:r>
        <w:rPr>
          <w:b/>
          <w:szCs w:val="30"/>
        </w:rPr>
        <w:t>. МОНИТОРИНГ ПРОГРЕССА ДОСТИЖЕНИЯ</w:t>
      </w:r>
    </w:p>
    <w:p w:rsidR="009E6D56" w:rsidRDefault="003D284E">
      <w:pPr>
        <w:ind w:firstLine="567"/>
        <w:jc w:val="center"/>
        <w:rPr>
          <w:rFonts w:cs="Times New Roman"/>
          <w:b/>
          <w:szCs w:val="30"/>
        </w:rPr>
      </w:pPr>
      <w:r>
        <w:rPr>
          <w:b/>
          <w:szCs w:val="30"/>
        </w:rPr>
        <w:t xml:space="preserve">ПОКАЗАТЕЛЯ </w:t>
      </w:r>
      <w:r>
        <w:rPr>
          <w:rFonts w:cs="Times New Roman"/>
          <w:b/>
          <w:szCs w:val="30"/>
        </w:rPr>
        <w:t>3.9.2.</w:t>
      </w:r>
    </w:p>
    <w:p w:rsidR="009E6D56" w:rsidRDefault="009E6D56">
      <w:pPr>
        <w:ind w:firstLine="567"/>
        <w:jc w:val="center"/>
        <w:rPr>
          <w:rFonts w:cs="Times New Roman"/>
          <w:b/>
          <w:szCs w:val="30"/>
        </w:rPr>
      </w:pPr>
    </w:p>
    <w:p w:rsidR="009E6D56" w:rsidRDefault="003D284E">
      <w:pPr>
        <w:ind w:firstLine="709"/>
        <w:jc w:val="both"/>
        <w:rPr>
          <w:bCs/>
          <w:szCs w:val="30"/>
          <w:highlight w:val="white"/>
        </w:rPr>
      </w:pPr>
      <w:r>
        <w:rPr>
          <w:color w:val="000000"/>
          <w:szCs w:val="30"/>
        </w:rPr>
        <w:t xml:space="preserve">Формирование информационно-аналитической базы  по оценке Цели устойчивого развития №3 осуществляет Министерство здравоохранения Республики Беларусь (далее – Минздрав) </w:t>
      </w:r>
      <w:r>
        <w:rPr>
          <w:szCs w:val="30"/>
          <w:shd w:val="clear" w:color="auto" w:fill="FFFFFF"/>
        </w:rPr>
        <w:t xml:space="preserve">в рамках Указа Президента Республики Беларусь А.Г. Лукашенко </w:t>
      </w:r>
      <w:r>
        <w:rPr>
          <w:bCs/>
          <w:szCs w:val="30"/>
          <w:shd w:val="clear" w:color="auto" w:fill="FFFFFF"/>
        </w:rPr>
        <w:t>от 25 мая 2017 года №181 «О Национальном координаторе по достижению Целей устойчивого развития».</w:t>
      </w:r>
    </w:p>
    <w:p w:rsidR="009E6D56" w:rsidRDefault="003D284E">
      <w:pPr>
        <w:ind w:firstLine="709"/>
        <w:jc w:val="both"/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Формирование информационно-аналитической базы по оценке показателя  ЦУР 3.9.2  в рамках национальной платформы показателей и индикаторов Целей устойчивого развития возложено на Минздрав.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szCs w:val="30"/>
        </w:rPr>
        <w:t>Система сбора информации по реализации показателя 3.9.2. в рамках деятельности органов и учреждений, осуществляющих государственный санитарный надзор, будет производиться через запрос административных в территориальные органы и учреждения здравоохранения  в соответствии с приказом Министерства здравоохранения Республики Беларусь от 15.11.2018 № 1177 «О показателях и индикаторах Цели устойчивого развития».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color w:val="000000"/>
          <w:szCs w:val="30"/>
        </w:rPr>
        <w:t>Национализация показателя ЦУР 3.9.2. осуществляется также во взаимодействии с ВОЗ, как учреждения-куратора.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szCs w:val="30"/>
        </w:rPr>
        <w:t>Прогресс достижения показателя ЦУР 3.9.2</w:t>
      </w:r>
      <w:r>
        <w:rPr>
          <w:rFonts w:cs="Times New Roman"/>
          <w:color w:val="000000"/>
          <w:szCs w:val="30"/>
        </w:rPr>
        <w:t xml:space="preserve">. </w:t>
      </w:r>
      <w:r>
        <w:rPr>
          <w:szCs w:val="30"/>
        </w:rPr>
        <w:t>осуществляется в порядке, изложенном в приложении 2  приказом Министерства здравоохранения Республики Беларусь от 15.11.2018 №1178 «О системе работы органов и учреждений, осуществляющих государственный санитарный надзор по реализации показателей Целей устойчивого развития».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szCs w:val="30"/>
        </w:rPr>
        <w:t xml:space="preserve">В настоящее время для определения целевых значений достижения показателя 3.9.2 проводится адаптации международной методологии к  национальными условиями с целью определения четких критериев для определения уровня смертности от загрязнения воздуха в жилых помещениях и атмосферного воздуха. 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color w:val="000000"/>
          <w:szCs w:val="30"/>
        </w:rPr>
        <w:lastRenderedPageBreak/>
        <w:t xml:space="preserve">В основу порядка разрабатываемой методики расчета  национального </w:t>
      </w:r>
      <w:r>
        <w:rPr>
          <w:szCs w:val="30"/>
        </w:rPr>
        <w:t xml:space="preserve">показателя ЦУР 3.9.1 </w:t>
      </w:r>
      <w:r>
        <w:rPr>
          <w:rFonts w:cs="Times New Roman"/>
          <w:szCs w:val="30"/>
        </w:rPr>
        <w:t xml:space="preserve">заложен индикатор </w:t>
      </w:r>
      <w:r>
        <w:rPr>
          <w:rFonts w:cs="Times New Roman"/>
          <w:color w:val="000000"/>
          <w:szCs w:val="30"/>
        </w:rPr>
        <w:t>(единица измерения)</w:t>
      </w:r>
      <w:r>
        <w:rPr>
          <w:rFonts w:cs="Times New Roman"/>
          <w:szCs w:val="30"/>
        </w:rPr>
        <w:t xml:space="preserve">, определенный на глобальном уровне как оценка  </w:t>
      </w:r>
      <w:r>
        <w:rPr>
          <w:rFonts w:cs="Times New Roman"/>
          <w:b/>
          <w:szCs w:val="30"/>
        </w:rPr>
        <w:t>«смертности</w:t>
      </w:r>
      <w:r>
        <w:rPr>
          <w:rFonts w:cs="Times New Roman"/>
          <w:szCs w:val="30"/>
        </w:rPr>
        <w:t xml:space="preserve"> </w:t>
      </w:r>
      <w:r>
        <w:rPr>
          <w:b/>
        </w:rPr>
        <w:t>от отсутствия безопасных услуг в области водоснабжения, санитарии и гигиены (ВССГ)»</w:t>
      </w:r>
      <w:r>
        <w:rPr>
          <w:rFonts w:cs="Times New Roman"/>
          <w:b/>
          <w:szCs w:val="30"/>
        </w:rPr>
        <w:t xml:space="preserve"> (на 100 000) населения.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color w:val="000000"/>
          <w:szCs w:val="30"/>
        </w:rPr>
        <w:t>Органами и учреждениями, осуществляющими государственный санитарный надзор, в рамках ответственности за мониторинг показателя ЦУР 3.9.1.</w:t>
      </w:r>
      <w:r>
        <w:rPr>
          <w:rFonts w:cs="Times New Roman"/>
          <w:szCs w:val="30"/>
        </w:rPr>
        <w:t>применяются следующие показатели и индикаторы</w:t>
      </w:r>
      <w:r>
        <w:rPr>
          <w:rFonts w:cs="Times New Roman"/>
          <w:color w:val="000000"/>
          <w:szCs w:val="30"/>
        </w:rPr>
        <w:t>: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b/>
          <w:color w:val="000000"/>
          <w:szCs w:val="30"/>
        </w:rPr>
        <w:t xml:space="preserve">показатель ВОЗ  </w:t>
      </w:r>
      <w:r>
        <w:rPr>
          <w:rFonts w:cs="Times New Roman"/>
          <w:color w:val="000000"/>
          <w:szCs w:val="30"/>
        </w:rPr>
        <w:t>(</w:t>
      </w:r>
      <w:r>
        <w:rPr>
          <w:rFonts w:cs="Times New Roman"/>
          <w:i/>
          <w:color w:val="000000"/>
          <w:szCs w:val="30"/>
        </w:rPr>
        <w:t>интегрирован с показателями ВОЗ ниже следующих ЦУР: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i/>
          <w:color w:val="000000"/>
          <w:szCs w:val="30"/>
        </w:rPr>
        <w:t xml:space="preserve">ЦУР </w:t>
      </w:r>
      <w:r>
        <w:rPr>
          <w:rFonts w:cs="Times New Roman"/>
          <w:i/>
          <w:szCs w:val="30"/>
        </w:rPr>
        <w:t>6.</w:t>
      </w:r>
      <w:r>
        <w:rPr>
          <w:rFonts w:cs="Times New Roman"/>
          <w:i/>
          <w:szCs w:val="30"/>
          <w:lang w:val="en-US"/>
        </w:rPr>
        <w:t>b</w:t>
      </w:r>
      <w:r>
        <w:rPr>
          <w:rFonts w:cs="Times New Roman"/>
          <w:i/>
          <w:szCs w:val="30"/>
        </w:rPr>
        <w:t>.1. «Доля местных административных единиц, в которых действуют правила и процедуры участия граждан в управлении водными ресурсами и санитарией»;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i/>
          <w:color w:val="000000"/>
          <w:szCs w:val="30"/>
        </w:rPr>
        <w:t xml:space="preserve">ЦУР </w:t>
      </w:r>
      <w:r>
        <w:rPr>
          <w:i/>
          <w:szCs w:val="30"/>
        </w:rPr>
        <w:t>3.</w:t>
      </w:r>
      <w:r>
        <w:rPr>
          <w:i/>
          <w:szCs w:val="30"/>
          <w:lang w:val="en-US"/>
        </w:rPr>
        <w:t>d</w:t>
      </w:r>
      <w:r>
        <w:rPr>
          <w:i/>
          <w:szCs w:val="30"/>
        </w:rPr>
        <w:t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здравоохранения»);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b/>
          <w:szCs w:val="30"/>
        </w:rPr>
        <w:t xml:space="preserve">косвенные показатели ВОЗ, предлагаемые для подготовки глобальных докладов по выполнению показателей ЦУР </w:t>
      </w:r>
      <w:r>
        <w:rPr>
          <w:rFonts w:cs="Times New Roman"/>
          <w:i/>
          <w:szCs w:val="30"/>
        </w:rPr>
        <w:t>(интегрирован с показателем ЦУР</w:t>
      </w:r>
      <w:r>
        <w:rPr>
          <w:rFonts w:cs="Times New Roman"/>
          <w:i/>
          <w:color w:val="000000"/>
          <w:szCs w:val="30"/>
        </w:rPr>
        <w:t xml:space="preserve">  </w:t>
      </w:r>
      <w:r>
        <w:rPr>
          <w:rFonts w:cs="Times New Roman"/>
          <w:i/>
          <w:szCs w:val="30"/>
        </w:rPr>
        <w:t>6.</w:t>
      </w:r>
      <w:r>
        <w:rPr>
          <w:rFonts w:cs="Times New Roman"/>
          <w:i/>
          <w:szCs w:val="30"/>
          <w:lang w:val="en-US"/>
        </w:rPr>
        <w:t>b</w:t>
      </w:r>
      <w:r>
        <w:rPr>
          <w:rFonts w:cs="Times New Roman"/>
          <w:i/>
          <w:szCs w:val="30"/>
        </w:rPr>
        <w:t>.1. «Доля местных административных единиц, в которых действуют правила и процедуры участия граждан в управлении водными ресурсами и санитарией»);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b/>
          <w:szCs w:val="30"/>
        </w:rPr>
        <w:t>косвенные</w:t>
      </w:r>
      <w:r>
        <w:rPr>
          <w:rFonts w:cs="Times New Roman"/>
          <w:szCs w:val="30"/>
        </w:rPr>
        <w:t xml:space="preserve"> </w:t>
      </w:r>
      <w:r>
        <w:rPr>
          <w:rFonts w:cs="Times New Roman"/>
          <w:b/>
          <w:color w:val="000000"/>
          <w:szCs w:val="30"/>
        </w:rPr>
        <w:t xml:space="preserve">показатели номенклатуры исследований и оценок, регулируемых техническими (локальными) нормативными правовыми актами Министерства  здравоохранения Республики Беларусь (ТНПА) </w:t>
      </w:r>
      <w:r>
        <w:rPr>
          <w:rFonts w:cs="Times New Roman"/>
          <w:i/>
          <w:color w:val="000000"/>
          <w:szCs w:val="30"/>
        </w:rPr>
        <w:t xml:space="preserve">(интегрированы с косвенными показателями: 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i/>
          <w:color w:val="000000"/>
          <w:szCs w:val="30"/>
        </w:rPr>
        <w:t xml:space="preserve">ЦУР </w:t>
      </w:r>
      <w:r>
        <w:rPr>
          <w:rFonts w:cs="Times New Roman"/>
          <w:i/>
          <w:szCs w:val="30"/>
        </w:rPr>
        <w:t>6.</w:t>
      </w:r>
      <w:r>
        <w:rPr>
          <w:rFonts w:cs="Times New Roman"/>
          <w:i/>
          <w:szCs w:val="30"/>
          <w:lang w:val="en-US"/>
        </w:rPr>
        <w:t>b</w:t>
      </w:r>
      <w:r>
        <w:rPr>
          <w:rFonts w:cs="Times New Roman"/>
          <w:i/>
          <w:szCs w:val="30"/>
        </w:rPr>
        <w:t>.1. «Доля местных административных единиц, в которых действуют правила и процедуры участия граждан в управлении водными ресурсами и санитарией»</w:t>
      </w:r>
      <w:r>
        <w:rPr>
          <w:rFonts w:cs="Times New Roman"/>
          <w:i/>
          <w:color w:val="000000"/>
          <w:szCs w:val="30"/>
        </w:rPr>
        <w:t>;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i/>
          <w:color w:val="000000"/>
          <w:szCs w:val="30"/>
        </w:rPr>
        <w:t xml:space="preserve">ЦУР </w:t>
      </w:r>
      <w:r>
        <w:rPr>
          <w:i/>
          <w:szCs w:val="30"/>
        </w:rPr>
        <w:t>3.</w:t>
      </w:r>
      <w:r>
        <w:rPr>
          <w:i/>
          <w:szCs w:val="30"/>
          <w:lang w:val="en-US"/>
        </w:rPr>
        <w:t>d</w:t>
      </w:r>
      <w:r>
        <w:rPr>
          <w:i/>
          <w:szCs w:val="30"/>
        </w:rPr>
        <w:t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здравоохранения»);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b/>
          <w:szCs w:val="30"/>
        </w:rPr>
        <w:t xml:space="preserve">индикаторы управленческих решений </w:t>
      </w:r>
      <w:r>
        <w:rPr>
          <w:szCs w:val="30"/>
        </w:rPr>
        <w:t>(в соответствии с п.4.2. «Системы работы органов и учреждений, осуществляющих государственный санитарный надзор, по реализации показателей Целей устойчивого развития», утвержденной приказом Министерства здравоохранения Республики Беларусь от 15.11.2018 №1178)</w:t>
      </w:r>
      <w:r>
        <w:rPr>
          <w:rFonts w:cs="Times New Roman"/>
          <w:color w:val="000000"/>
          <w:szCs w:val="30"/>
        </w:rPr>
        <w:t xml:space="preserve"> </w:t>
      </w:r>
      <w:r>
        <w:rPr>
          <w:rFonts w:cs="Times New Roman"/>
          <w:i/>
          <w:color w:val="000000"/>
          <w:szCs w:val="30"/>
        </w:rPr>
        <w:t>(интегрированы индикаторами управленческих решений показателей: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i/>
          <w:color w:val="000000"/>
          <w:szCs w:val="30"/>
        </w:rPr>
        <w:t xml:space="preserve">ЦУР </w:t>
      </w:r>
      <w:r>
        <w:rPr>
          <w:rFonts w:cs="Times New Roman"/>
          <w:i/>
          <w:szCs w:val="30"/>
        </w:rPr>
        <w:t>6.</w:t>
      </w:r>
      <w:r>
        <w:rPr>
          <w:rFonts w:cs="Times New Roman"/>
          <w:i/>
          <w:szCs w:val="30"/>
          <w:lang w:val="en-US"/>
        </w:rPr>
        <w:t>b</w:t>
      </w:r>
      <w:r>
        <w:rPr>
          <w:rFonts w:cs="Times New Roman"/>
          <w:i/>
          <w:szCs w:val="30"/>
        </w:rPr>
        <w:t>.1. «Доля местных административных единиц, в которых действуют правила и процедуры участия граждан в управлении водными ресурсами и санитарией»;</w:t>
      </w:r>
    </w:p>
    <w:p w:rsidR="009E6D56" w:rsidRDefault="003D284E">
      <w:pPr>
        <w:ind w:firstLine="709"/>
        <w:jc w:val="both"/>
        <w:rPr>
          <w:szCs w:val="30"/>
        </w:rPr>
      </w:pPr>
      <w:r>
        <w:rPr>
          <w:rFonts w:cs="Times New Roman"/>
          <w:i/>
          <w:color w:val="000000"/>
          <w:szCs w:val="30"/>
        </w:rPr>
        <w:lastRenderedPageBreak/>
        <w:t xml:space="preserve">ЦУР </w:t>
      </w:r>
      <w:r>
        <w:rPr>
          <w:i/>
          <w:szCs w:val="30"/>
        </w:rPr>
        <w:t>3.</w:t>
      </w:r>
      <w:r>
        <w:rPr>
          <w:i/>
          <w:szCs w:val="30"/>
          <w:lang w:val="en-US"/>
        </w:rPr>
        <w:t>d</w:t>
      </w:r>
      <w:r>
        <w:rPr>
          <w:i/>
          <w:szCs w:val="30"/>
        </w:rPr>
        <w:t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  <w:r>
        <w:rPr>
          <w:rFonts w:cs="Times New Roman"/>
          <w:i/>
          <w:color w:val="000000"/>
          <w:szCs w:val="30"/>
        </w:rPr>
        <w:t>).</w:t>
      </w:r>
    </w:p>
    <w:p w:rsidR="009E6D56" w:rsidRDefault="009E6D56">
      <w:pPr>
        <w:ind w:firstLine="709"/>
        <w:jc w:val="both"/>
        <w:rPr>
          <w:szCs w:val="30"/>
        </w:rPr>
      </w:pPr>
    </w:p>
    <w:p w:rsidR="009E6D56" w:rsidRDefault="003D284E">
      <w:pPr>
        <w:jc w:val="center"/>
        <w:rPr>
          <w:rFonts w:cs="Times New Roman"/>
          <w:b/>
          <w:color w:val="000000"/>
          <w:szCs w:val="30"/>
        </w:rPr>
      </w:pPr>
      <w:r>
        <w:rPr>
          <w:rFonts w:cs="Times New Roman"/>
          <w:b/>
          <w:color w:val="000000"/>
          <w:szCs w:val="30"/>
        </w:rPr>
        <w:t>ЦУР 3.9.2. - Показатель ВОЗ</w:t>
      </w:r>
    </w:p>
    <w:tbl>
      <w:tblPr>
        <w:tblStyle w:val="afd"/>
        <w:tblW w:w="95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56"/>
      </w:tblGrid>
      <w:tr w:rsidR="009E6D56">
        <w:trPr>
          <w:trHeight w:val="617"/>
        </w:trPr>
        <w:tc>
          <w:tcPr>
            <w:tcW w:w="9556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szCs w:val="30"/>
              </w:rPr>
            </w:pPr>
            <w:r>
              <w:rPr>
                <w:rFonts w:ascii="Calibri" w:hAnsi="Calibri" w:cs="Times New Roman"/>
                <w:b/>
                <w:sz w:val="22"/>
                <w:szCs w:val="30"/>
              </w:rPr>
              <w:t>«Смертность</w:t>
            </w:r>
            <w:r>
              <w:rPr>
                <w:rFonts w:ascii="Calibri" w:hAnsi="Calibri" w:cs="Times New Roman"/>
                <w:sz w:val="22"/>
                <w:szCs w:val="30"/>
              </w:rPr>
              <w:t xml:space="preserve"> </w:t>
            </w:r>
            <w:r>
              <w:rPr>
                <w:rFonts w:ascii="Calibri" w:hAnsi="Calibri" w:cs="Times New Roman"/>
                <w:b/>
                <w:sz w:val="22"/>
                <w:szCs w:val="30"/>
              </w:rPr>
              <w:t>от отсутствия безопасных услуг  в области водоснабжения, санитарии и гигиены (ВССГ)» (на 100 000) населения</w:t>
            </w:r>
          </w:p>
        </w:tc>
      </w:tr>
    </w:tbl>
    <w:p w:rsidR="009E6D56" w:rsidRDefault="009E6D56">
      <w:pPr>
        <w:jc w:val="center"/>
        <w:rPr>
          <w:rFonts w:cs="Times New Roman"/>
          <w:b/>
          <w:color w:val="000000"/>
          <w:szCs w:val="30"/>
        </w:rPr>
      </w:pPr>
    </w:p>
    <w:p w:rsidR="009E6D56" w:rsidRDefault="003D284E">
      <w:pPr>
        <w:jc w:val="center"/>
        <w:rPr>
          <w:rFonts w:cs="Times New Roman"/>
          <w:b/>
          <w:color w:val="000000"/>
          <w:szCs w:val="30"/>
        </w:rPr>
      </w:pPr>
      <w:r>
        <w:rPr>
          <w:rFonts w:cs="Times New Roman"/>
          <w:b/>
          <w:color w:val="000000"/>
          <w:szCs w:val="30"/>
        </w:rPr>
        <w:t xml:space="preserve">ЦУР 3.9.2. – Косвенные показатели ВОЗ </w:t>
      </w:r>
    </w:p>
    <w:p w:rsidR="009E6D56" w:rsidRDefault="009E6D56">
      <w:pPr>
        <w:jc w:val="center"/>
        <w:rPr>
          <w:rFonts w:cs="Times New Roman"/>
          <w:b/>
          <w:sz w:val="24"/>
          <w:szCs w:val="24"/>
        </w:rPr>
      </w:pPr>
    </w:p>
    <w:p w:rsidR="009E6D56" w:rsidRDefault="003D284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Cs w:val="30"/>
        </w:rPr>
        <w:t>ЦЕНТРАЛИЗОВАННОЕ ВОДОСНАБЖЕНИЕ</w:t>
      </w:r>
    </w:p>
    <w:p w:rsidR="009E6D56" w:rsidRDefault="009E6D56">
      <w:pPr>
        <w:jc w:val="center"/>
        <w:rPr>
          <w:rFonts w:ascii="Calibri" w:hAnsi="Calibri" w:cs="Times New Roman"/>
          <w:b/>
          <w:sz w:val="24"/>
          <w:szCs w:val="24"/>
        </w:rPr>
      </w:pPr>
    </w:p>
    <w:p w:rsidR="009E6D56" w:rsidRDefault="003D284E">
      <w:pPr>
        <w:pStyle w:val="af2"/>
        <w:numPr>
          <w:ilvl w:val="0"/>
          <w:numId w:val="7"/>
        </w:numPr>
        <w:ind w:left="142" w:firstLine="644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пользующегося питьевой водой, подаваемой по водопроводу;</w:t>
      </w:r>
    </w:p>
    <w:p w:rsidR="009E6D56" w:rsidRDefault="003D284E">
      <w:pPr>
        <w:pStyle w:val="af2"/>
        <w:numPr>
          <w:ilvl w:val="0"/>
          <w:numId w:val="7"/>
        </w:numPr>
        <w:ind w:left="142" w:firstLine="644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пользующегося питьевой водой, подаваемой по водопроводу в помещение;</w:t>
      </w:r>
    </w:p>
    <w:p w:rsidR="009E6D56" w:rsidRDefault="003D284E">
      <w:pPr>
        <w:pStyle w:val="af2"/>
        <w:numPr>
          <w:ilvl w:val="0"/>
          <w:numId w:val="7"/>
        </w:numPr>
        <w:ind w:left="142" w:firstLine="644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пользующегося водой, подаваемой на прилегающую территорию;</w:t>
      </w:r>
    </w:p>
    <w:p w:rsidR="009E6D56" w:rsidRDefault="003D284E">
      <w:pPr>
        <w:pStyle w:val="af2"/>
        <w:numPr>
          <w:ilvl w:val="0"/>
          <w:numId w:val="7"/>
        </w:numPr>
        <w:ind w:left="142" w:firstLine="644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водопроводов, обеспечивающих бесперебойную подачу воды;</w:t>
      </w:r>
    </w:p>
    <w:p w:rsidR="009E6D56" w:rsidRDefault="003D284E">
      <w:pPr>
        <w:pStyle w:val="af2"/>
        <w:numPr>
          <w:ilvl w:val="0"/>
          <w:numId w:val="7"/>
        </w:numPr>
        <w:ind w:left="142" w:firstLine="644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водопроводов, удовлетворяющих нормативам по микробиологическому (вирусологическому) загрязнению;</w:t>
      </w:r>
    </w:p>
    <w:p w:rsidR="009E6D56" w:rsidRDefault="003D284E">
      <w:pPr>
        <w:pStyle w:val="af2"/>
        <w:numPr>
          <w:ilvl w:val="0"/>
          <w:numId w:val="7"/>
        </w:numPr>
        <w:ind w:left="142" w:firstLine="644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водопроводов, удовлетворяющих по содержанию фторидов в питьевой воде.</w:t>
      </w:r>
    </w:p>
    <w:p w:rsidR="009E6D56" w:rsidRDefault="003D284E">
      <w:pPr>
        <w:tabs>
          <w:tab w:val="left" w:pos="8505"/>
        </w:tabs>
        <w:ind w:firstLine="426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Cs w:val="30"/>
        </w:rPr>
        <w:t>ДЕЦЕНТРАЛИЗОВАННОЕ ВОДОСНАБЖЕНИЕ</w:t>
      </w:r>
    </w:p>
    <w:p w:rsidR="009E6D56" w:rsidRDefault="003D284E">
      <w:pPr>
        <w:pStyle w:val="af2"/>
        <w:numPr>
          <w:ilvl w:val="0"/>
          <w:numId w:val="8"/>
        </w:numPr>
        <w:tabs>
          <w:tab w:val="left" w:pos="8505"/>
        </w:tabs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пользующегося колодцами;</w:t>
      </w:r>
    </w:p>
    <w:p w:rsidR="009E6D56" w:rsidRDefault="003D284E">
      <w:pPr>
        <w:pStyle w:val="af2"/>
        <w:numPr>
          <w:ilvl w:val="0"/>
          <w:numId w:val="8"/>
        </w:numPr>
        <w:ind w:left="142" w:firstLine="218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пользующегося только общественными колодцами;</w:t>
      </w:r>
    </w:p>
    <w:p w:rsidR="009E6D56" w:rsidRDefault="003D284E">
      <w:pPr>
        <w:pStyle w:val="af2"/>
        <w:numPr>
          <w:ilvl w:val="0"/>
          <w:numId w:val="8"/>
        </w:numPr>
        <w:tabs>
          <w:tab w:val="left" w:pos="8505"/>
        </w:tabs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пользующегося только частными колодцами;</w:t>
      </w:r>
    </w:p>
    <w:p w:rsidR="009E6D56" w:rsidRDefault="003D284E">
      <w:pPr>
        <w:pStyle w:val="af2"/>
        <w:numPr>
          <w:ilvl w:val="0"/>
          <w:numId w:val="8"/>
        </w:numPr>
        <w:ind w:left="142" w:firstLine="218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пользующегося собственными скважинами с разводкой в жилое помещение;</w:t>
      </w:r>
    </w:p>
    <w:p w:rsidR="009E6D56" w:rsidRDefault="003D284E">
      <w:pPr>
        <w:pStyle w:val="af2"/>
        <w:numPr>
          <w:ilvl w:val="0"/>
          <w:numId w:val="8"/>
        </w:numPr>
        <w:ind w:left="142" w:firstLine="207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 xml:space="preserve">% населения, пользующегося собственными скважинами без разводки в жилое помещение; </w:t>
      </w:r>
    </w:p>
    <w:p w:rsidR="009E6D56" w:rsidRDefault="003D284E">
      <w:pPr>
        <w:pStyle w:val="af2"/>
        <w:numPr>
          <w:ilvl w:val="0"/>
          <w:numId w:val="8"/>
        </w:numPr>
        <w:ind w:left="142" w:firstLine="218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общественных колодцев, отвечающих требованиям по микробиологическому показателю;</w:t>
      </w:r>
    </w:p>
    <w:p w:rsidR="009E6D56" w:rsidRDefault="003D284E">
      <w:pPr>
        <w:pStyle w:val="af2"/>
        <w:numPr>
          <w:ilvl w:val="0"/>
          <w:numId w:val="8"/>
        </w:numPr>
        <w:ind w:left="142" w:firstLine="218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частных колодцев, отвечающих требованиям по микробиологическому показателю;</w:t>
      </w:r>
    </w:p>
    <w:p w:rsidR="009E6D56" w:rsidRDefault="003D284E">
      <w:pPr>
        <w:pStyle w:val="af2"/>
        <w:numPr>
          <w:ilvl w:val="0"/>
          <w:numId w:val="8"/>
        </w:numPr>
        <w:ind w:left="142" w:firstLine="218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общественных  колодцев, отвечающих нормативу по содержанию фторидов;</w:t>
      </w:r>
    </w:p>
    <w:p w:rsidR="009E6D56" w:rsidRDefault="003D284E">
      <w:pPr>
        <w:pStyle w:val="af2"/>
        <w:numPr>
          <w:ilvl w:val="0"/>
          <w:numId w:val="8"/>
        </w:numPr>
        <w:ind w:left="142" w:firstLine="218"/>
        <w:jc w:val="both"/>
        <w:rPr>
          <w:rFonts w:cs="Times New Roman"/>
          <w:b/>
          <w:i/>
          <w:color w:val="000000"/>
          <w:szCs w:val="30"/>
        </w:rPr>
      </w:pPr>
      <w:r>
        <w:rPr>
          <w:rFonts w:cs="Times New Roman"/>
          <w:color w:val="000000"/>
          <w:szCs w:val="30"/>
        </w:rPr>
        <w:t>% общественных колодцев, отвечающих нормативу по содержанию фторидов.</w:t>
      </w:r>
    </w:p>
    <w:p w:rsidR="009E6D56" w:rsidRDefault="003D284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Cs w:val="30"/>
        </w:rPr>
        <w:t>ВОДООТВЕДЕНИЕ</w:t>
      </w:r>
    </w:p>
    <w:p w:rsidR="009E6D56" w:rsidRDefault="003D284E">
      <w:pPr>
        <w:pStyle w:val="af2"/>
        <w:numPr>
          <w:ilvl w:val="0"/>
          <w:numId w:val="3"/>
        </w:numPr>
        <w:ind w:left="0" w:firstLine="360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lastRenderedPageBreak/>
        <w:t>% населения, использующего улучшенные санитарно-технические средства, подключенные к трубопроводным канализационным сетям</w:t>
      </w:r>
    </w:p>
    <w:p w:rsidR="009E6D56" w:rsidRDefault="003D284E">
      <w:pPr>
        <w:pStyle w:val="af2"/>
        <w:numPr>
          <w:ilvl w:val="0"/>
          <w:numId w:val="2"/>
        </w:numPr>
        <w:ind w:left="0" w:firstLine="360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испражнений от населения, использующего улучшенные санитарно-технические средства, подключенные к трубопроводным канализационным сетям, поступает на очистку</w:t>
      </w:r>
    </w:p>
    <w:p w:rsidR="009E6D56" w:rsidRDefault="003D284E">
      <w:pPr>
        <w:pStyle w:val="af2"/>
        <w:numPr>
          <w:ilvl w:val="0"/>
          <w:numId w:val="2"/>
        </w:numPr>
        <w:ind w:left="0" w:firstLine="360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сточных вод, поступающих на очистные станции, очищается до национальных нормативов по сбросу сточных вод</w:t>
      </w:r>
    </w:p>
    <w:p w:rsidR="009E6D56" w:rsidRDefault="003D284E">
      <w:pPr>
        <w:pStyle w:val="af2"/>
        <w:numPr>
          <w:ilvl w:val="0"/>
          <w:numId w:val="2"/>
        </w:numPr>
        <w:ind w:left="0" w:firstLine="360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использующего улучшенные санитарно-технические средства, находящиеся в жилище или в непосредственной близости от него</w:t>
      </w:r>
    </w:p>
    <w:p w:rsidR="009E6D56" w:rsidRDefault="003D284E">
      <w:pPr>
        <w:pStyle w:val="af2"/>
        <w:numPr>
          <w:ilvl w:val="0"/>
          <w:numId w:val="2"/>
        </w:numPr>
        <w:ind w:left="0" w:firstLine="360"/>
        <w:jc w:val="both"/>
        <w:rPr>
          <w:rFonts w:cs="Times New Roman"/>
          <w:b/>
          <w:szCs w:val="30"/>
        </w:rPr>
      </w:pPr>
      <w:r>
        <w:rPr>
          <w:rFonts w:cs="Times New Roman"/>
          <w:szCs w:val="30"/>
        </w:rPr>
        <w:t>% населения, пользующегося улучшенными санитарно-техническими средствами, находящиеся в жилище или в непосредственной близости от него, и пользующегося системой, в которой испражнения (т.е. фекальный шлам) собирается в емкость и безопасно очищается и отводится непосредственно на месте</w:t>
      </w:r>
    </w:p>
    <w:p w:rsidR="009E6D56" w:rsidRDefault="003D284E">
      <w:pPr>
        <w:pStyle w:val="af2"/>
        <w:numPr>
          <w:ilvl w:val="0"/>
          <w:numId w:val="2"/>
        </w:numPr>
        <w:ind w:left="0" w:firstLine="360"/>
        <w:jc w:val="both"/>
        <w:rPr>
          <w:rFonts w:cs="Times New Roman"/>
          <w:b/>
          <w:szCs w:val="30"/>
        </w:rPr>
      </w:pPr>
      <w:r>
        <w:rPr>
          <w:rFonts w:cs="Times New Roman"/>
          <w:color w:val="000000"/>
          <w:szCs w:val="30"/>
        </w:rPr>
        <w:t>% населения, пользующегося улучшенными санитарно-техническими средствами, находящиеся в жилище или в непосредственной близости от него, и пользующегося системой, в которой испражнения (т.е. фекальный шлам) собирается в емкость и безопасно опорожняется, транспортируфется и доставляется на станцию очистки</w:t>
      </w:r>
    </w:p>
    <w:p w:rsidR="009E6D56" w:rsidRDefault="009E6D56">
      <w:pPr>
        <w:pStyle w:val="af2"/>
        <w:ind w:left="142" w:firstLine="218"/>
        <w:jc w:val="both"/>
        <w:rPr>
          <w:rFonts w:cs="Times New Roman"/>
          <w:b/>
          <w:i/>
          <w:color w:val="000000"/>
          <w:szCs w:val="30"/>
        </w:rPr>
      </w:pPr>
    </w:p>
    <w:p w:rsidR="009E6D56" w:rsidRDefault="003D284E">
      <w:pPr>
        <w:jc w:val="center"/>
        <w:rPr>
          <w:rFonts w:cs="Times New Roman"/>
          <w:b/>
          <w:i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ЦУР </w:t>
      </w:r>
      <w:r>
        <w:rPr>
          <w:rFonts w:cs="Times New Roman"/>
          <w:b/>
          <w:szCs w:val="30"/>
        </w:rPr>
        <w:t xml:space="preserve">3.9.2. – Косвенные </w:t>
      </w:r>
      <w:r>
        <w:rPr>
          <w:rFonts w:cs="Times New Roman"/>
          <w:b/>
          <w:color w:val="000000"/>
          <w:sz w:val="32"/>
          <w:szCs w:val="32"/>
        </w:rPr>
        <w:t xml:space="preserve">показатели ТНПА  </w:t>
      </w:r>
    </w:p>
    <w:p w:rsidR="009E6D56" w:rsidRDefault="009E6D56">
      <w:pPr>
        <w:jc w:val="both"/>
        <w:rPr>
          <w:rFonts w:cs="Times New Roman"/>
          <w:color w:val="000000"/>
          <w:sz w:val="32"/>
          <w:szCs w:val="32"/>
        </w:rPr>
      </w:pPr>
    </w:p>
    <w:tbl>
      <w:tblPr>
        <w:tblStyle w:val="afd"/>
        <w:tblW w:w="957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36"/>
        <w:gridCol w:w="3934"/>
      </w:tblGrid>
      <w:tr w:rsidR="009E6D56">
        <w:trPr>
          <w:trHeight w:val="382"/>
        </w:trPr>
        <w:tc>
          <w:tcPr>
            <w:tcW w:w="5635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color w:val="000000"/>
                <w:szCs w:val="3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30"/>
              </w:rPr>
              <w:t>Показатель</w:t>
            </w:r>
          </w:p>
        </w:tc>
        <w:tc>
          <w:tcPr>
            <w:tcW w:w="3934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color w:val="000000"/>
                <w:szCs w:val="3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30"/>
              </w:rPr>
              <w:t>Обоснование</w:t>
            </w:r>
          </w:p>
        </w:tc>
      </w:tr>
      <w:tr w:rsidR="009E6D56">
        <w:tc>
          <w:tcPr>
            <w:tcW w:w="5635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/>
                <w:sz w:val="22"/>
                <w:szCs w:val="30"/>
              </w:rPr>
              <w:t>(%) удельный вес источников централизованного водоснабжения, не отвечавшие требованиям санитарных норм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9E6D56" w:rsidRDefault="009E6D56">
            <w:pPr>
              <w:jc w:val="center"/>
              <w:rPr>
                <w:rFonts w:ascii="Calibri" w:hAnsi="Calibri" w:cs="Times New Roman"/>
                <w:b/>
                <w:i/>
                <w:sz w:val="28"/>
                <w:szCs w:val="28"/>
              </w:rPr>
            </w:pPr>
          </w:p>
          <w:p w:rsidR="009E6D56" w:rsidRDefault="009E6D56">
            <w:pPr>
              <w:pStyle w:val="af2"/>
              <w:ind w:left="360"/>
              <w:jc w:val="both"/>
              <w:rPr>
                <w:rFonts w:cs="Times New Roman"/>
                <w:color w:val="000000"/>
                <w:szCs w:val="30"/>
              </w:rPr>
            </w:pPr>
          </w:p>
          <w:p w:rsidR="009E6D56" w:rsidRDefault="009E6D56">
            <w:pPr>
              <w:pStyle w:val="af2"/>
              <w:ind w:left="360"/>
              <w:jc w:val="both"/>
              <w:rPr>
                <w:rFonts w:cs="Times New Roman"/>
                <w:color w:val="000000"/>
                <w:szCs w:val="30"/>
              </w:rPr>
            </w:pPr>
          </w:p>
          <w:p w:rsidR="009E6D56" w:rsidRDefault="009E6D56">
            <w:pPr>
              <w:pStyle w:val="af2"/>
              <w:ind w:left="360"/>
              <w:jc w:val="both"/>
              <w:rPr>
                <w:rFonts w:cs="Times New Roman"/>
                <w:color w:val="000000"/>
                <w:szCs w:val="30"/>
              </w:rPr>
            </w:pPr>
          </w:p>
          <w:p w:rsidR="009E6D56" w:rsidRDefault="009E6D56">
            <w:pPr>
              <w:pStyle w:val="af2"/>
              <w:ind w:left="360"/>
              <w:jc w:val="both"/>
              <w:rPr>
                <w:rFonts w:cs="Times New Roman"/>
                <w:color w:val="000000"/>
                <w:szCs w:val="30"/>
              </w:rPr>
            </w:pPr>
          </w:p>
          <w:p w:rsidR="009E6D56" w:rsidRDefault="003D284E">
            <w:pPr>
              <w:pStyle w:val="af2"/>
              <w:ind w:left="360"/>
              <w:jc w:val="both"/>
              <w:rPr>
                <w:rFonts w:cs="Times New Roman"/>
                <w:color w:val="000000"/>
                <w:szCs w:val="30"/>
              </w:rPr>
            </w:pPr>
            <w:r>
              <w:rPr>
                <w:rFonts w:cs="Times New Roman"/>
                <w:sz w:val="28"/>
                <w:szCs w:val="28"/>
              </w:rPr>
              <w:t>Отражают  риски здоровью, связанные с состоянием систем водообеспечения</w:t>
            </w:r>
          </w:p>
          <w:p w:rsidR="009E6D56" w:rsidRDefault="009E6D56">
            <w:pPr>
              <w:pStyle w:val="af2"/>
              <w:ind w:left="360"/>
              <w:jc w:val="both"/>
              <w:rPr>
                <w:rFonts w:cs="Times New Roman"/>
                <w:color w:val="000000"/>
                <w:szCs w:val="30"/>
              </w:rPr>
            </w:pPr>
          </w:p>
          <w:p w:rsidR="009E6D56" w:rsidRDefault="009E6D56">
            <w:pPr>
              <w:jc w:val="both"/>
              <w:rPr>
                <w:rFonts w:ascii="Calibri" w:hAnsi="Calibri" w:cs="Times New Roman"/>
                <w:color w:val="000000"/>
                <w:sz w:val="32"/>
                <w:szCs w:val="32"/>
              </w:rPr>
            </w:pPr>
          </w:p>
        </w:tc>
      </w:tr>
      <w:tr w:rsidR="009E6D56">
        <w:tc>
          <w:tcPr>
            <w:tcW w:w="5635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b/>
                <w:szCs w:val="30"/>
              </w:rPr>
            </w:pPr>
            <w:r>
              <w:rPr>
                <w:rFonts w:ascii="Calibri" w:hAnsi="Calibri" w:cs="Times New Roman"/>
                <w:sz w:val="22"/>
                <w:szCs w:val="30"/>
              </w:rPr>
              <w:t xml:space="preserve">(%) удельный вес источников, у которых отсутствуют зоны санитарной охраны </w:t>
            </w:r>
          </w:p>
        </w:tc>
        <w:tc>
          <w:tcPr>
            <w:tcW w:w="3934" w:type="dxa"/>
            <w:vMerge/>
            <w:shd w:val="clear" w:color="auto" w:fill="auto"/>
          </w:tcPr>
          <w:p w:rsidR="009E6D56" w:rsidRDefault="009E6D56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</w:tr>
      <w:tr w:rsidR="009E6D56">
        <w:tc>
          <w:tcPr>
            <w:tcW w:w="5635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b/>
                <w:szCs w:val="30"/>
              </w:rPr>
            </w:pPr>
            <w:r>
              <w:rPr>
                <w:rFonts w:ascii="Calibri" w:hAnsi="Calibri" w:cs="Times New Roman"/>
                <w:sz w:val="22"/>
                <w:szCs w:val="30"/>
              </w:rPr>
              <w:t>(%) удельный вес проб воды, несоответствующих гигиеническим требованиям по микробиологическим показателям:</w:t>
            </w:r>
          </w:p>
          <w:p w:rsidR="009E6D56" w:rsidRDefault="003D284E">
            <w:pPr>
              <w:ind w:firstLine="624"/>
              <w:jc w:val="both"/>
              <w:rPr>
                <w:rFonts w:cs="Times New Roman"/>
                <w:b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>- источники централизованного водоснабжения;</w:t>
            </w:r>
          </w:p>
          <w:p w:rsidR="009E6D56" w:rsidRDefault="003D284E">
            <w:pPr>
              <w:ind w:left="567"/>
              <w:jc w:val="both"/>
              <w:rPr>
                <w:rFonts w:cs="Times New Roman"/>
                <w:b/>
                <w:i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>- коммунальных водопроводов;</w:t>
            </w:r>
          </w:p>
          <w:p w:rsidR="009E6D56" w:rsidRDefault="003D284E">
            <w:pPr>
              <w:ind w:left="567"/>
              <w:jc w:val="both"/>
              <w:rPr>
                <w:rFonts w:cs="Times New Roman"/>
                <w:b/>
                <w:i/>
                <w:szCs w:val="30"/>
              </w:rPr>
            </w:pPr>
            <w:r>
              <w:rPr>
                <w:rFonts w:ascii="Calibri" w:hAnsi="Calibri" w:cs="Times New Roman"/>
                <w:i/>
                <w:sz w:val="22"/>
                <w:szCs w:val="30"/>
              </w:rPr>
              <w:t>- ведомственных водопроводов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9E6D56" w:rsidRDefault="009E6D56">
            <w:pPr>
              <w:rPr>
                <w:rFonts w:cs="Times New Roman"/>
                <w:color w:val="000000"/>
                <w:szCs w:val="32"/>
              </w:rPr>
            </w:pPr>
          </w:p>
        </w:tc>
      </w:tr>
      <w:tr w:rsidR="009E6D56">
        <w:tc>
          <w:tcPr>
            <w:tcW w:w="5635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b/>
                <w:szCs w:val="30"/>
              </w:rPr>
            </w:pPr>
            <w:r>
              <w:rPr>
                <w:rFonts w:ascii="Calibri" w:hAnsi="Calibri" w:cs="Times New Roman"/>
                <w:sz w:val="22"/>
                <w:szCs w:val="30"/>
              </w:rPr>
              <w:t>(%) удельный вес  проб воды, несоответствующих  гигиеническим требованиям по санитарно-химическим показателям:</w:t>
            </w:r>
          </w:p>
          <w:p w:rsidR="009E6D56" w:rsidRDefault="003D284E">
            <w:pPr>
              <w:ind w:firstLine="624"/>
              <w:jc w:val="both"/>
              <w:rPr>
                <w:rFonts w:cs="Times New Roman"/>
                <w:b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>- источники централизованного водоснабжения;</w:t>
            </w:r>
          </w:p>
          <w:p w:rsidR="009E6D56" w:rsidRDefault="003D284E">
            <w:pPr>
              <w:ind w:left="567"/>
              <w:jc w:val="both"/>
              <w:rPr>
                <w:rFonts w:cs="Times New Roman"/>
                <w:b/>
                <w:i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>- коммунальных водопроводов;</w:t>
            </w:r>
          </w:p>
          <w:p w:rsidR="009E6D56" w:rsidRDefault="003D284E">
            <w:pPr>
              <w:ind w:left="567"/>
              <w:jc w:val="both"/>
              <w:rPr>
                <w:rFonts w:cs="Times New Roman"/>
                <w:b/>
                <w:i/>
                <w:szCs w:val="30"/>
              </w:rPr>
            </w:pPr>
            <w:r>
              <w:rPr>
                <w:rFonts w:ascii="Calibri" w:hAnsi="Calibri" w:cs="Times New Roman"/>
                <w:i/>
                <w:color w:val="000000"/>
                <w:sz w:val="22"/>
                <w:szCs w:val="30"/>
              </w:rPr>
              <w:t>- ведомственных водопроводов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9E6D56" w:rsidRDefault="009E6D56">
            <w:pPr>
              <w:rPr>
                <w:rFonts w:cs="Times New Roman"/>
                <w:color w:val="000000"/>
                <w:szCs w:val="32"/>
              </w:rPr>
            </w:pPr>
          </w:p>
        </w:tc>
      </w:tr>
      <w:tr w:rsidR="009E6D56">
        <w:tc>
          <w:tcPr>
            <w:tcW w:w="5635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/>
                <w:sz w:val="22"/>
                <w:szCs w:val="30"/>
              </w:rPr>
              <w:t xml:space="preserve">(%) удельный вес источников децентрализованного водоснабжения, не отвечавшие требованиям санитарных норм    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9E6D56" w:rsidRDefault="009E6D56">
            <w:pPr>
              <w:rPr>
                <w:rFonts w:cs="Times New Roman"/>
                <w:color w:val="000000"/>
                <w:szCs w:val="32"/>
              </w:rPr>
            </w:pPr>
          </w:p>
        </w:tc>
      </w:tr>
      <w:tr w:rsidR="009E6D56">
        <w:tc>
          <w:tcPr>
            <w:tcW w:w="5635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30"/>
              </w:rPr>
              <w:t xml:space="preserve">Индекс частоты </w:t>
            </w:r>
            <w:r>
              <w:rPr>
                <w:rFonts w:ascii="Calibri" w:hAnsi="Calibri" w:cs="Times New Roman"/>
                <w:i/>
                <w:sz w:val="22"/>
                <w:szCs w:val="30"/>
              </w:rPr>
              <w:t>(число за 1 неделю)</w:t>
            </w:r>
            <w:r>
              <w:rPr>
                <w:rFonts w:ascii="Calibri" w:hAnsi="Calibri" w:cs="Times New Roman"/>
                <w:sz w:val="22"/>
                <w:szCs w:val="30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2"/>
                <w:szCs w:val="30"/>
              </w:rPr>
              <w:t xml:space="preserve">вспышек </w:t>
            </w:r>
            <w:r>
              <w:rPr>
                <w:rFonts w:ascii="Calibri" w:hAnsi="Calibri" w:cs="Times New Roman"/>
                <w:sz w:val="22"/>
                <w:szCs w:val="30"/>
              </w:rPr>
              <w:t>острых кишечных инфекций, связанных с водным фактором передачи</w:t>
            </w:r>
            <w:r>
              <w:rPr>
                <w:rFonts w:ascii="Calibri" w:hAnsi="Calibri" w:cs="Times New Roman"/>
                <w:color w:val="000000"/>
                <w:sz w:val="22"/>
                <w:szCs w:val="30"/>
              </w:rPr>
              <w:t xml:space="preserve">   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9E6D56" w:rsidRDefault="003D284E">
            <w:pPr>
              <w:pStyle w:val="af2"/>
              <w:ind w:left="36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Отражают  реализованные риски здоровью, связанные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с состоянием систем водообеспечения </w:t>
            </w:r>
          </w:p>
        </w:tc>
      </w:tr>
      <w:tr w:rsidR="009E6D56">
        <w:tc>
          <w:tcPr>
            <w:tcW w:w="5635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color w:val="FF0000"/>
                <w:szCs w:val="3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30"/>
              </w:rPr>
              <w:lastRenderedPageBreak/>
              <w:t>Заболеваемость дизентерией Флекснера</w:t>
            </w:r>
            <w:r>
              <w:rPr>
                <w:rFonts w:ascii="Calibri" w:hAnsi="Calibri" w:cs="Times New Roman"/>
                <w:i/>
                <w:sz w:val="22"/>
                <w:szCs w:val="30"/>
              </w:rPr>
              <w:t xml:space="preserve"> (на 100 000 населения)</w:t>
            </w:r>
            <w:r>
              <w:rPr>
                <w:rFonts w:ascii="Calibri" w:hAnsi="Calibri" w:cs="Times New Roman"/>
                <w:color w:val="FF0000"/>
                <w:sz w:val="22"/>
                <w:szCs w:val="30"/>
              </w:rPr>
              <w:t xml:space="preserve"> </w:t>
            </w:r>
          </w:p>
        </w:tc>
        <w:tc>
          <w:tcPr>
            <w:tcW w:w="3934" w:type="dxa"/>
            <w:vMerge/>
            <w:shd w:val="clear" w:color="auto" w:fill="auto"/>
          </w:tcPr>
          <w:p w:rsidR="009E6D56" w:rsidRDefault="009E6D56">
            <w:pPr>
              <w:jc w:val="both"/>
              <w:rPr>
                <w:rFonts w:cs="Times New Roman"/>
                <w:color w:val="000000"/>
                <w:szCs w:val="32"/>
              </w:rPr>
            </w:pPr>
          </w:p>
        </w:tc>
      </w:tr>
      <w:tr w:rsidR="009E6D56">
        <w:tc>
          <w:tcPr>
            <w:tcW w:w="5635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ascii="Calibri" w:hAnsi="Calibri" w:cs="Times New Roman"/>
                <w:sz w:val="22"/>
                <w:szCs w:val="30"/>
              </w:rPr>
              <w:lastRenderedPageBreak/>
              <w:t xml:space="preserve">Заболеваемость вирусным гепатитом А, обусловленная водным фактором </w:t>
            </w:r>
            <w:r>
              <w:rPr>
                <w:rFonts w:ascii="Calibri" w:hAnsi="Calibri" w:cs="Times New Roman"/>
                <w:i/>
                <w:sz w:val="22"/>
                <w:szCs w:val="30"/>
              </w:rPr>
              <w:t>(на 100 000 населения в год)</w:t>
            </w:r>
          </w:p>
        </w:tc>
        <w:tc>
          <w:tcPr>
            <w:tcW w:w="3934" w:type="dxa"/>
            <w:vMerge/>
            <w:shd w:val="clear" w:color="auto" w:fill="auto"/>
          </w:tcPr>
          <w:p w:rsidR="009E6D56" w:rsidRDefault="009E6D56">
            <w:pPr>
              <w:jc w:val="both"/>
              <w:rPr>
                <w:rFonts w:cs="Times New Roman"/>
                <w:color w:val="000000"/>
                <w:szCs w:val="32"/>
              </w:rPr>
            </w:pPr>
          </w:p>
        </w:tc>
      </w:tr>
    </w:tbl>
    <w:p w:rsidR="009E6D56" w:rsidRDefault="009E6D56">
      <w:pPr>
        <w:jc w:val="center"/>
        <w:rPr>
          <w:rFonts w:cs="Times New Roman"/>
          <w:b/>
          <w:color w:val="000000"/>
          <w:szCs w:val="30"/>
        </w:rPr>
      </w:pPr>
    </w:p>
    <w:p w:rsidR="009E6D56" w:rsidRDefault="003D284E">
      <w:pPr>
        <w:jc w:val="center"/>
        <w:rPr>
          <w:rFonts w:cs="Times New Roman"/>
          <w:b/>
          <w:color w:val="000000"/>
          <w:szCs w:val="30"/>
        </w:rPr>
      </w:pPr>
      <w:r>
        <w:rPr>
          <w:rFonts w:cs="Times New Roman"/>
          <w:b/>
          <w:color w:val="000000"/>
          <w:szCs w:val="30"/>
        </w:rPr>
        <w:t xml:space="preserve">ЦУР 3.9.2. – Косвенные показатели территориальных баз данных </w:t>
      </w:r>
    </w:p>
    <w:p w:rsidR="009E6D56" w:rsidRDefault="009E6D56">
      <w:pPr>
        <w:jc w:val="center"/>
        <w:rPr>
          <w:rFonts w:cs="Times New Roman"/>
          <w:b/>
          <w:szCs w:val="30"/>
        </w:rPr>
      </w:pPr>
    </w:p>
    <w:tbl>
      <w:tblPr>
        <w:tblStyle w:val="afd"/>
        <w:tblpPr w:leftFromText="180" w:rightFromText="180" w:vertAnchor="text" w:horzAnchor="margin" w:tblpY="29"/>
        <w:tblW w:w="985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855"/>
      </w:tblGrid>
      <w:tr w:rsidR="009E6D56">
        <w:tc>
          <w:tcPr>
            <w:tcW w:w="9855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szCs w:val="30"/>
              </w:rPr>
            </w:pPr>
            <w:r>
              <w:rPr>
                <w:rFonts w:ascii="Calibri" w:hAnsi="Calibri" w:cs="Times New Roman"/>
                <w:b/>
                <w:sz w:val="22"/>
                <w:szCs w:val="30"/>
              </w:rPr>
              <w:t>% населения, использующего безопасно организованные услуги питьевого водоснабжения</w:t>
            </w:r>
          </w:p>
        </w:tc>
      </w:tr>
    </w:tbl>
    <w:p w:rsidR="009E6D56" w:rsidRDefault="009E6D56">
      <w:pPr>
        <w:jc w:val="center"/>
        <w:rPr>
          <w:rFonts w:cs="Times New Roman"/>
          <w:b/>
          <w:color w:val="000000"/>
          <w:szCs w:val="30"/>
        </w:rPr>
      </w:pPr>
    </w:p>
    <w:p w:rsidR="009E6D56" w:rsidRDefault="003D284E">
      <w:pPr>
        <w:jc w:val="center"/>
        <w:rPr>
          <w:rFonts w:cs="Times New Roman"/>
          <w:b/>
          <w:szCs w:val="30"/>
        </w:rPr>
      </w:pPr>
      <w:r>
        <w:rPr>
          <w:rFonts w:cs="Times New Roman"/>
          <w:b/>
          <w:color w:val="000000"/>
          <w:szCs w:val="30"/>
        </w:rPr>
        <w:t xml:space="preserve">ЦУР 3.9.2. - </w:t>
      </w:r>
      <w:r>
        <w:rPr>
          <w:rFonts w:cs="Times New Roman"/>
          <w:b/>
          <w:szCs w:val="30"/>
        </w:rPr>
        <w:t xml:space="preserve">Индикаторы управленческих решений </w:t>
      </w:r>
    </w:p>
    <w:p w:rsidR="009E6D56" w:rsidRDefault="009E6D5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afd"/>
        <w:tblW w:w="9463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380"/>
        <w:gridCol w:w="3083"/>
      </w:tblGrid>
      <w:tr w:rsidR="009E6D56">
        <w:trPr>
          <w:trHeight w:val="407"/>
        </w:trPr>
        <w:tc>
          <w:tcPr>
            <w:tcW w:w="6379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Индикатор</w:t>
            </w:r>
          </w:p>
        </w:tc>
        <w:tc>
          <w:tcPr>
            <w:tcW w:w="3083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Обоснование </w:t>
            </w:r>
          </w:p>
        </w:tc>
      </w:tr>
      <w:tr w:rsidR="009E6D56">
        <w:tc>
          <w:tcPr>
            <w:tcW w:w="6379" w:type="dxa"/>
            <w:shd w:val="clear" w:color="auto" w:fill="auto"/>
          </w:tcPr>
          <w:p w:rsidR="009E6D56" w:rsidRDefault="003D284E">
            <w:pPr>
              <w:jc w:val="both"/>
              <w:rPr>
                <w:i/>
                <w:szCs w:val="30"/>
              </w:rPr>
            </w:pPr>
            <w:r>
              <w:rPr>
                <w:sz w:val="24"/>
                <w:szCs w:val="24"/>
              </w:rPr>
              <w:t xml:space="preserve">1.26. Качество питьевой воды </w:t>
            </w:r>
            <w:r>
              <w:rPr>
                <w:i/>
                <w:sz w:val="24"/>
                <w:szCs w:val="24"/>
              </w:rPr>
              <w:t>(удельный вес проб, в источниках  водоснабжения, не отвечающих гигиенически нормам)</w:t>
            </w:r>
            <w:r>
              <w:rPr>
                <w:i/>
                <w:sz w:val="24"/>
                <w:szCs w:val="30"/>
              </w:rPr>
              <w:t>:</w:t>
            </w:r>
          </w:p>
          <w:p w:rsidR="009E6D56" w:rsidRDefault="003D284E">
            <w:pPr>
              <w:jc w:val="both"/>
              <w:rPr>
                <w:i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30"/>
              </w:rPr>
              <w:t xml:space="preserve">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1.26.1. -  по санитарно-химическим показателям:</w:t>
            </w:r>
          </w:p>
          <w:p w:rsidR="009E6D56" w:rsidRDefault="003D284E">
            <w:pPr>
              <w:jc w:val="both"/>
              <w:rPr>
                <w:rFonts w:eastAsia="Calibri" w:cs="Times New Roman"/>
                <w:b/>
                <w:szCs w:val="3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</w:t>
            </w: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>- источники централизованного водоснабжения;</w:t>
            </w:r>
          </w:p>
          <w:p w:rsidR="009E6D56" w:rsidRDefault="003D284E">
            <w:pPr>
              <w:ind w:left="567"/>
              <w:jc w:val="both"/>
              <w:rPr>
                <w:rFonts w:cs="Times New Roman"/>
                <w:b/>
                <w:i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 xml:space="preserve">  - коммунальных водопроводов;</w:t>
            </w:r>
          </w:p>
          <w:p w:rsidR="009E6D56" w:rsidRDefault="003D284E">
            <w:pPr>
              <w:jc w:val="both"/>
              <w:rPr>
                <w:rFonts w:eastAsia="Calibri" w:cs="Times New Roman"/>
                <w:b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 xml:space="preserve">            - ведомственных водопроводов</w:t>
            </w:r>
          </w:p>
          <w:p w:rsidR="009E6D56" w:rsidRDefault="003D284E">
            <w:pPr>
              <w:jc w:val="both"/>
              <w:rPr>
                <w:rFonts w:eastAsia="Calibri" w:cs="Times New Roman"/>
                <w:b/>
                <w:szCs w:val="3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- децентрализованное водоснабжение</w:t>
            </w:r>
          </w:p>
          <w:p w:rsidR="009E6D56" w:rsidRDefault="003D284E">
            <w:pPr>
              <w:jc w:val="both"/>
              <w:rPr>
                <w:rFonts w:eastAsia="Calibri" w:cs="Times New Roman"/>
                <w:b/>
                <w:szCs w:val="3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1.26.2. – по микробиологическим показателям</w:t>
            </w:r>
          </w:p>
          <w:p w:rsidR="009E6D56" w:rsidRDefault="003D284E">
            <w:pPr>
              <w:ind w:firstLine="624"/>
              <w:jc w:val="both"/>
              <w:rPr>
                <w:rFonts w:cs="Times New Roman"/>
                <w:b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>- источники централизованного водоснабжения;</w:t>
            </w:r>
          </w:p>
          <w:p w:rsidR="009E6D56" w:rsidRDefault="003D284E">
            <w:pPr>
              <w:ind w:left="567"/>
              <w:jc w:val="both"/>
              <w:rPr>
                <w:rFonts w:cs="Times New Roman"/>
                <w:b/>
                <w:i/>
                <w:szCs w:val="30"/>
              </w:rPr>
            </w:pPr>
            <w:r>
              <w:rPr>
                <w:rFonts w:ascii="Calibri" w:eastAsia="Calibri" w:hAnsi="Calibri" w:cs="Times New Roman"/>
                <w:i/>
                <w:sz w:val="22"/>
                <w:szCs w:val="30"/>
              </w:rPr>
              <w:t>- коммунальных в</w:t>
            </w:r>
            <w:r>
              <w:rPr>
                <w:rFonts w:ascii="Calibri" w:eastAsia="Calibri" w:hAnsi="Calibri" w:cs="Times New Roman"/>
                <w:i/>
                <w:iCs/>
                <w:color w:val="000000"/>
                <w:sz w:val="22"/>
                <w:szCs w:val="30"/>
              </w:rPr>
              <w:t>одопроводов;</w:t>
            </w:r>
          </w:p>
          <w:p w:rsidR="009E6D56" w:rsidRDefault="003D284E">
            <w:pPr>
              <w:ind w:left="567"/>
              <w:jc w:val="both"/>
              <w:rPr>
                <w:rFonts w:cs="Times New Roman"/>
                <w:b/>
                <w:i/>
                <w:szCs w:val="30"/>
              </w:rPr>
            </w:pPr>
            <w:r>
              <w:rPr>
                <w:rFonts w:ascii="Calibri" w:eastAsia="Calibri" w:hAnsi="Calibri" w:cs="Times New Roman"/>
                <w:i/>
                <w:iCs/>
                <w:sz w:val="22"/>
                <w:szCs w:val="30"/>
              </w:rPr>
              <w:t>- ведомственных водопроводов</w:t>
            </w:r>
          </w:p>
        </w:tc>
        <w:tc>
          <w:tcPr>
            <w:tcW w:w="3083" w:type="dxa"/>
            <w:shd w:val="clear" w:color="auto" w:fill="auto"/>
          </w:tcPr>
          <w:p w:rsidR="009E6D56" w:rsidRDefault="009E6D56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9E6D56" w:rsidRDefault="003D284E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Отражает  состояние безопасности услуг в области водоснабжения в условиях   урбанизированной среды обитания населения</w:t>
            </w:r>
          </w:p>
        </w:tc>
      </w:tr>
      <w:tr w:rsidR="009E6D56">
        <w:tc>
          <w:tcPr>
            <w:tcW w:w="9462" w:type="dxa"/>
            <w:gridSpan w:val="2"/>
            <w:shd w:val="clear" w:color="auto" w:fill="auto"/>
          </w:tcPr>
          <w:p w:rsidR="009E6D56" w:rsidRDefault="003D284E">
            <w:pPr>
              <w:tabs>
                <w:tab w:val="left" w:pos="9498"/>
              </w:tabs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- Раздел «Профессиональный тренинг»:</w:t>
            </w:r>
          </w:p>
          <w:p w:rsidR="009E6D56" w:rsidRDefault="003D284E">
            <w:pPr>
              <w:tabs>
                <w:tab w:val="left" w:pos="9498"/>
              </w:tabs>
              <w:ind w:right="-1" w:firstLine="11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2.85.-2.87. (%) охват тренингом  по вопросам управления общественным здоровьем в рамках выполнения показателя ЦУР 3.9.2.;</w:t>
            </w:r>
          </w:p>
          <w:p w:rsidR="009E6D56" w:rsidRDefault="009E6D56">
            <w:pPr>
              <w:tabs>
                <w:tab w:val="left" w:pos="9498"/>
              </w:tabs>
              <w:ind w:right="-1" w:firstLine="1134"/>
              <w:jc w:val="both"/>
              <w:rPr>
                <w:b/>
                <w:sz w:val="28"/>
                <w:szCs w:val="28"/>
              </w:rPr>
            </w:pPr>
          </w:p>
          <w:p w:rsidR="009E6D56" w:rsidRDefault="003D284E">
            <w:pPr>
              <w:tabs>
                <w:tab w:val="left" w:pos="9498"/>
              </w:tabs>
              <w:ind w:right="-1" w:firstLine="11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2.89.–2.90. (%) уровень информированности профессиональных групп по вопросам управления общественным здоровьем в рамках выполнения показателя ЦУР 3.9.2.</w:t>
            </w:r>
          </w:p>
        </w:tc>
      </w:tr>
    </w:tbl>
    <w:p w:rsidR="009E6D56" w:rsidRDefault="009E6D56">
      <w:pPr>
        <w:sectPr w:rsidR="009E6D56">
          <w:headerReference w:type="default" r:id="rId9"/>
          <w:pgSz w:w="11906" w:h="16838"/>
          <w:pgMar w:top="1134" w:right="566" w:bottom="993" w:left="1701" w:header="454" w:footer="0" w:gutter="0"/>
          <w:cols w:space="720"/>
          <w:formProt w:val="0"/>
          <w:docGrid w:linePitch="408"/>
        </w:sectPr>
      </w:pPr>
    </w:p>
    <w:p w:rsidR="009E6D56" w:rsidRDefault="003D284E">
      <w:pPr>
        <w:jc w:val="center"/>
        <w:rPr>
          <w:rFonts w:eastAsia="Calibri" w:cs="Times New Roman"/>
          <w:b/>
          <w:color w:val="000000"/>
          <w:szCs w:val="30"/>
        </w:rPr>
      </w:pPr>
      <w:r>
        <w:rPr>
          <w:rFonts w:eastAsia="Calibri" w:cs="Times New Roman"/>
          <w:b/>
          <w:color w:val="000000"/>
          <w:szCs w:val="30"/>
          <w:lang w:val="be-BY"/>
        </w:rPr>
        <w:lastRenderedPageBreak/>
        <w:t>Показатели ЦУР 3.9.2</w:t>
      </w:r>
      <w:r>
        <w:rPr>
          <w:rFonts w:eastAsia="Calibri" w:cs="Times New Roman"/>
          <w:b/>
          <w:color w:val="000000"/>
          <w:szCs w:val="30"/>
        </w:rPr>
        <w:t>.(ДАННЫЕ МИН ОБЛ )</w:t>
      </w:r>
    </w:p>
    <w:tbl>
      <w:tblPr>
        <w:tblStyle w:val="afd"/>
        <w:tblpPr w:leftFromText="180" w:rightFromText="180" w:vertAnchor="page" w:horzAnchor="margin" w:tblpXSpec="center" w:tblpY="2338"/>
        <w:tblW w:w="1559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77"/>
        <w:gridCol w:w="263"/>
        <w:gridCol w:w="693"/>
        <w:gridCol w:w="40"/>
        <w:gridCol w:w="653"/>
        <w:gridCol w:w="69"/>
        <w:gridCol w:w="624"/>
        <w:gridCol w:w="87"/>
        <w:gridCol w:w="606"/>
        <w:gridCol w:w="136"/>
        <w:gridCol w:w="557"/>
        <w:gridCol w:w="164"/>
        <w:gridCol w:w="529"/>
        <w:gridCol w:w="185"/>
        <w:gridCol w:w="508"/>
        <w:gridCol w:w="218"/>
        <w:gridCol w:w="475"/>
        <w:gridCol w:w="258"/>
        <w:gridCol w:w="435"/>
        <w:gridCol w:w="278"/>
        <w:gridCol w:w="415"/>
        <w:gridCol w:w="306"/>
        <w:gridCol w:w="387"/>
        <w:gridCol w:w="357"/>
        <w:gridCol w:w="521"/>
        <w:gridCol w:w="27"/>
        <w:gridCol w:w="39"/>
        <w:gridCol w:w="753"/>
        <w:gridCol w:w="837"/>
        <w:gridCol w:w="50"/>
        <w:gridCol w:w="641"/>
        <w:gridCol w:w="170"/>
        <w:gridCol w:w="568"/>
        <w:gridCol w:w="176"/>
        <w:gridCol w:w="339"/>
        <w:gridCol w:w="549"/>
      </w:tblGrid>
      <w:tr w:rsidR="009E6D56">
        <w:tc>
          <w:tcPr>
            <w:tcW w:w="2330" w:type="dxa"/>
            <w:gridSpan w:val="2"/>
            <w:vMerge w:val="restart"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43" w:type="dxa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530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542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529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530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542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529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530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43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30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41" w:type="dxa"/>
            <w:gridSpan w:val="2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54" w:type="dxa"/>
            <w:gridSpan w:val="2"/>
            <w:vMerge w:val="restart"/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26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069" w:type="dxa"/>
            <w:gridSpan w:val="7"/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Предельные уровни</w:t>
            </w:r>
          </w:p>
        </w:tc>
      </w:tr>
      <w:tr w:rsidR="009E6D56">
        <w:tc>
          <w:tcPr>
            <w:tcW w:w="2330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29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29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41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54" w:type="dxa"/>
            <w:gridSpan w:val="2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926" w:type="dxa"/>
            <w:gridSpan w:val="3"/>
            <w:vMerge/>
            <w:tcBorders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415" w:type="dxa"/>
            <w:gridSpan w:val="3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2030</w:t>
            </w:r>
          </w:p>
        </w:tc>
      </w:tr>
      <w:tr w:rsidR="009E6D56">
        <w:tc>
          <w:tcPr>
            <w:tcW w:w="9799" w:type="dxa"/>
            <w:gridSpan w:val="28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ЦУР 3.9.2. – Показатель ВОЗ</w:t>
            </w:r>
          </w:p>
        </w:tc>
        <w:tc>
          <w:tcPr>
            <w:tcW w:w="5787" w:type="dxa"/>
            <w:gridSpan w:val="8"/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Смертность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от отсутствия безопасных услуг  в области водоснабжения, санитарии и гигиены </w:t>
            </w:r>
            <w:r>
              <w:rPr>
                <w:rFonts w:ascii="Calibri" w:hAnsi="Calibri" w:cs="Times New Roman"/>
                <w:sz w:val="24"/>
                <w:szCs w:val="24"/>
              </w:rPr>
              <w:t>(на 100 000 населения)</w:t>
            </w:r>
          </w:p>
        </w:tc>
        <w:tc>
          <w:tcPr>
            <w:tcW w:w="5889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9E6D56" w:rsidRDefault="009E6D5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 w:cs="Times New Roman"/>
                <w:sz w:val="22"/>
              </w:rPr>
              <w:t>Начало мониторинга показателя с 2020 г.</w:t>
            </w: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 w:cs="Times New Roman"/>
                <w:sz w:val="22"/>
              </w:rPr>
              <w:t>0,2</w:t>
            </w:r>
          </w:p>
          <w:p w:rsidR="009E6D56" w:rsidRDefault="009E6D5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Данные ВОЗ 2012</w:t>
            </w:r>
          </w:p>
        </w:tc>
        <w:tc>
          <w:tcPr>
            <w:tcW w:w="9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69" w:type="dxa"/>
            <w:gridSpan w:val="7"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 w:cs="Times New Roman"/>
                <w:sz w:val="22"/>
              </w:rPr>
              <w:t>Определяются после разработки методики расчета</w:t>
            </w:r>
          </w:p>
        </w:tc>
      </w:tr>
      <w:tr w:rsidR="009E6D56">
        <w:tc>
          <w:tcPr>
            <w:tcW w:w="9799" w:type="dxa"/>
            <w:gridSpan w:val="28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ЦУР 3.9.2. – Косвенные показатели ВОЗ</w:t>
            </w:r>
          </w:p>
        </w:tc>
        <w:tc>
          <w:tcPr>
            <w:tcW w:w="5787" w:type="dxa"/>
            <w:gridSpan w:val="8"/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color w:val="F58220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Количество абонентов, которым подается вода) </w:t>
            </w: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ЖКХ, Водоканал Ведомства, органы власти</w:t>
            </w: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, кроме собственных водопроводов</w:t>
            </w:r>
          </w:p>
        </w:tc>
        <w:tc>
          <w:tcPr>
            <w:tcW w:w="5889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516646</w:t>
            </w:r>
          </w:p>
        </w:tc>
        <w:tc>
          <w:tcPr>
            <w:tcW w:w="9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 w:rsidP="003C0BC1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54</w:t>
            </w:r>
            <w:r w:rsidR="003C0BC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271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C0BC1">
            <w:pPr>
              <w:jc w:val="center"/>
              <w:rPr>
                <w:rFonts w:eastAsia="Calibri" w:cs="Times New Roman"/>
              </w:rPr>
            </w:pPr>
            <w:r w:rsidRPr="003C0BC1">
              <w:rPr>
                <w:sz w:val="20"/>
                <w:szCs w:val="20"/>
              </w:rPr>
              <w:t>527026</w:t>
            </w:r>
          </w:p>
        </w:tc>
        <w:tc>
          <w:tcPr>
            <w:tcW w:w="4069" w:type="dxa"/>
            <w:gridSpan w:val="7"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color w:val="A3238E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% водопроводов, обеспечивающих  бесперебойную подачу воды водоканал, ЖКХ , ведомства</w:t>
            </w:r>
          </w:p>
        </w:tc>
        <w:tc>
          <w:tcPr>
            <w:tcW w:w="5889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 w:rsidP="003C0BC1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C0BC1">
            <w:pPr>
              <w:jc w:val="center"/>
              <w:rPr>
                <w:rFonts w:eastAsia="Calibri" w:cs="Times New Roman"/>
              </w:rPr>
            </w:pPr>
            <w:r w:rsidRPr="003C0BC1">
              <w:rPr>
                <w:sz w:val="20"/>
                <w:szCs w:val="20"/>
              </w:rPr>
              <w:t>92,4</w:t>
            </w:r>
          </w:p>
        </w:tc>
        <w:tc>
          <w:tcPr>
            <w:tcW w:w="406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A933"/>
                <w:sz w:val="24"/>
                <w:szCs w:val="24"/>
              </w:rPr>
              <w:t xml:space="preserve">% объектов хозяйственно-питьевого водоснабжения, соответствующих санитарным нормам в части соблюдения зон санитарной охраны </w:t>
            </w:r>
          </w:p>
        </w:tc>
        <w:tc>
          <w:tcPr>
            <w:tcW w:w="5889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6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iCs/>
                <w:color w:val="00A933"/>
                <w:sz w:val="20"/>
                <w:szCs w:val="20"/>
              </w:rPr>
              <w:t>Источники централизованного водоснабжения</w:t>
            </w:r>
          </w:p>
        </w:tc>
        <w:tc>
          <w:tcPr>
            <w:tcW w:w="5889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97,07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iCs/>
                <w:color w:val="00A933"/>
                <w:sz w:val="20"/>
                <w:szCs w:val="20"/>
              </w:rPr>
              <w:lastRenderedPageBreak/>
              <w:t>Коммунальные водопроводы</w:t>
            </w:r>
          </w:p>
        </w:tc>
        <w:tc>
          <w:tcPr>
            <w:tcW w:w="5889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99,7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99,53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iCs/>
                <w:color w:val="00A933"/>
                <w:sz w:val="20"/>
                <w:szCs w:val="20"/>
              </w:rPr>
              <w:t>Ведомственные водопроводы</w:t>
            </w:r>
          </w:p>
        </w:tc>
        <w:tc>
          <w:tcPr>
            <w:tcW w:w="5889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94,2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96,56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A933"/>
                <w:sz w:val="24"/>
                <w:szCs w:val="24"/>
              </w:rPr>
              <w:t>% объектов хозяйственно-питьевого водоснабжения, соответствующих санитарным нормам в части оборудования комплекса очистных сооружений</w:t>
            </w:r>
          </w:p>
        </w:tc>
        <w:tc>
          <w:tcPr>
            <w:tcW w:w="5889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6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iCs/>
                <w:color w:val="00A933"/>
                <w:sz w:val="20"/>
                <w:szCs w:val="20"/>
              </w:rPr>
              <w:t>Коммунальные водопроводы</w:t>
            </w:r>
          </w:p>
        </w:tc>
        <w:tc>
          <w:tcPr>
            <w:tcW w:w="5889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87,01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92,28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iCs/>
                <w:color w:val="00A933"/>
                <w:sz w:val="20"/>
                <w:szCs w:val="20"/>
              </w:rPr>
              <w:t>Ведомственные водопроводы</w:t>
            </w:r>
          </w:p>
        </w:tc>
        <w:tc>
          <w:tcPr>
            <w:tcW w:w="5889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88,58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A933"/>
                <w:sz w:val="24"/>
                <w:szCs w:val="24"/>
              </w:rPr>
              <w:t xml:space="preserve">% общественных колодцев, отвечающих требованиям </w:t>
            </w:r>
            <w:r>
              <w:rPr>
                <w:rFonts w:ascii="Calibri" w:eastAsia="Calibri" w:hAnsi="Calibri" w:cs="Times New Roman"/>
                <w:b/>
                <w:color w:val="00A933"/>
                <w:sz w:val="24"/>
                <w:szCs w:val="24"/>
              </w:rPr>
              <w:t>санэпидзаконодательства</w:t>
            </w:r>
          </w:p>
        </w:tc>
        <w:tc>
          <w:tcPr>
            <w:tcW w:w="5889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98,15</w:t>
            </w:r>
          </w:p>
        </w:tc>
        <w:tc>
          <w:tcPr>
            <w:tcW w:w="406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179" w:type="dxa"/>
            <w:tcBorders>
              <w:right w:val="nil"/>
            </w:tcBorders>
            <w:shd w:val="clear" w:color="auto" w:fill="auto"/>
          </w:tcPr>
          <w:p w:rsidR="009E6D56" w:rsidRDefault="003D284E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A933"/>
                <w:sz w:val="20"/>
                <w:szCs w:val="20"/>
              </w:rPr>
              <w:t xml:space="preserve">Удельный вес не соответствующих требованиям </w:t>
            </w:r>
            <w:r>
              <w:rPr>
                <w:b/>
                <w:bCs/>
                <w:color w:val="00A933"/>
                <w:sz w:val="20"/>
                <w:szCs w:val="20"/>
              </w:rPr>
              <w:t>источников централизованного</w:t>
            </w:r>
            <w:r>
              <w:rPr>
                <w:color w:val="00A933"/>
                <w:sz w:val="20"/>
                <w:szCs w:val="20"/>
              </w:rPr>
              <w:t xml:space="preserve"> водоснабжения</w:t>
            </w:r>
          </w:p>
        </w:tc>
        <w:tc>
          <w:tcPr>
            <w:tcW w:w="151" w:type="dxa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15,4</w:t>
            </w:r>
          </w:p>
        </w:tc>
        <w:tc>
          <w:tcPr>
            <w:tcW w:w="7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15,6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13,54</w:t>
            </w:r>
          </w:p>
        </w:tc>
        <w:tc>
          <w:tcPr>
            <w:tcW w:w="23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6" w:type="dxa"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179" w:type="dxa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A933"/>
                <w:sz w:val="20"/>
                <w:szCs w:val="20"/>
              </w:rPr>
              <w:t xml:space="preserve">Удельный вес не соответствующих требованиям </w:t>
            </w:r>
            <w:r>
              <w:rPr>
                <w:b/>
                <w:bCs/>
                <w:color w:val="00A933"/>
                <w:sz w:val="20"/>
                <w:szCs w:val="20"/>
              </w:rPr>
              <w:t>Коммунальных водопроводов</w:t>
            </w:r>
          </w:p>
        </w:tc>
        <w:tc>
          <w:tcPr>
            <w:tcW w:w="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13,4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14,2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12,7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179" w:type="dxa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A933"/>
                <w:sz w:val="20"/>
                <w:szCs w:val="20"/>
              </w:rPr>
              <w:t xml:space="preserve">Удельный вес не соответствующих требованиям </w:t>
            </w:r>
            <w:r>
              <w:rPr>
                <w:b/>
                <w:bCs/>
                <w:color w:val="00A933"/>
                <w:sz w:val="20"/>
                <w:szCs w:val="20"/>
              </w:rPr>
              <w:t xml:space="preserve">Ведомственных водопроводов </w:t>
            </w:r>
          </w:p>
        </w:tc>
        <w:tc>
          <w:tcPr>
            <w:tcW w:w="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23,6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21,46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179" w:type="dxa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A933"/>
                <w:sz w:val="20"/>
                <w:szCs w:val="20"/>
              </w:rPr>
              <w:t xml:space="preserve">Удельный вес не соответствующих требованиям </w:t>
            </w:r>
            <w:r>
              <w:rPr>
                <w:b/>
                <w:bCs/>
                <w:color w:val="00A933"/>
                <w:sz w:val="20"/>
                <w:szCs w:val="20"/>
              </w:rPr>
              <w:t>Источников децентрализованного водоснабжения</w:t>
            </w:r>
            <w:r>
              <w:rPr>
                <w:color w:val="00A933"/>
                <w:sz w:val="20"/>
                <w:szCs w:val="20"/>
              </w:rPr>
              <w:t xml:space="preserve"> </w:t>
            </w:r>
          </w:p>
        </w:tc>
        <w:tc>
          <w:tcPr>
            <w:tcW w:w="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1,9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1,7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1,85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9E6D56">
            <w:pPr>
              <w:pStyle w:val="af2"/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69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87" w:type="dxa"/>
            <w:gridSpan w:val="8"/>
            <w:tcBorders>
              <w:top w:val="nil"/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9799" w:type="dxa"/>
            <w:gridSpan w:val="28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lastRenderedPageBreak/>
              <w:t>ЦУР 3.9.2. – Косвенные показатели ТНПА</w:t>
            </w:r>
          </w:p>
        </w:tc>
        <w:tc>
          <w:tcPr>
            <w:tcW w:w="5787" w:type="dxa"/>
            <w:gridSpan w:val="8"/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rPr>
          <w:trHeight w:val="1531"/>
        </w:trPr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Индекс частоты </w:t>
            </w:r>
            <w:r>
              <w:rPr>
                <w:rFonts w:ascii="Calibri" w:hAnsi="Calibri" w:cs="Times New Roman"/>
                <w:i/>
                <w:sz w:val="24"/>
                <w:szCs w:val="24"/>
              </w:rPr>
              <w:t>(число за 1 неделю)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вспышек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острых кишечных инфекций, связанных с водным фактором передачи</w:t>
            </w:r>
          </w:p>
        </w:tc>
        <w:tc>
          <w:tcPr>
            <w:tcW w:w="7469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 w:cs="Times New Roman"/>
                <w:sz w:val="22"/>
              </w:rPr>
              <w:t>Начало мониторинга после разработки методики расчета, предельные уровни  не устанавливаются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69" w:type="dxa"/>
            <w:gridSpan w:val="7"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Заболеваемость дизентерией Флекснера</w:t>
            </w: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  <w:t>(на 100 000 населения)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-37,3</w:t>
            </w: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828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 w:cs="Times New Roman"/>
                <w:sz w:val="22"/>
              </w:rPr>
              <w:t>Не устанавливаются</w:t>
            </w: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Заболеваемость вирусным гепатитом А, обусловленная водным фактором </w:t>
            </w: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(на 100 000 населения в год)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4,55</w:t>
            </w: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0,95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  <w:tc>
          <w:tcPr>
            <w:tcW w:w="1828" w:type="dxa"/>
            <w:gridSpan w:val="5"/>
            <w:vMerge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Качество проб воды в мониторинговых точках по данным зонгоррайЦГЭ в соответствии с пост.№105 (удельный вес нестандартных проб, %)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ascii="Calibri" w:eastAsia="Calibri" w:hAnsi="Calibri" w:cs="Times New Roman"/>
                <w:sz w:val="22"/>
                <w:szCs w:val="20"/>
              </w:rPr>
              <w:t>201</w:t>
            </w:r>
            <w:bookmarkStart w:id="1" w:name="_GoBack2"/>
            <w:bookmarkEnd w:id="1"/>
            <w:r>
              <w:rPr>
                <w:rFonts w:ascii="Calibri" w:eastAsia="Calibri" w:hAnsi="Calibri" w:cs="Times New Roman"/>
                <w:sz w:val="22"/>
                <w:szCs w:val="20"/>
              </w:rPr>
              <w:t>9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  <w:tc>
          <w:tcPr>
            <w:tcW w:w="22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Pr="003D284E" w:rsidRDefault="003D284E">
            <w:pPr>
              <w:jc w:val="center"/>
              <w:rPr>
                <w:rFonts w:ascii="Calibri" w:eastAsia="Calibri" w:hAnsi="Calibri" w:cs="Times New Roman"/>
                <w:sz w:val="22"/>
                <w:szCs w:val="20"/>
              </w:rPr>
            </w:pPr>
            <w:r w:rsidRPr="003D284E">
              <w:rPr>
                <w:rFonts w:ascii="Calibri" w:eastAsia="Calibri" w:hAnsi="Calibri" w:cs="Times New Roman"/>
                <w:sz w:val="22"/>
                <w:szCs w:val="20"/>
              </w:rPr>
              <w:t>2020</w:t>
            </w:r>
          </w:p>
        </w:tc>
        <w:tc>
          <w:tcPr>
            <w:tcW w:w="182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E6D56" w:rsidRDefault="003D2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артскважина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4,03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Pr="003D284E" w:rsidRDefault="003D284E">
            <w:pPr>
              <w:jc w:val="center"/>
              <w:rPr>
                <w:rFonts w:ascii="Calibri" w:eastAsia="Calibri" w:hAnsi="Calibri" w:cs="Times New Roman"/>
                <w:sz w:val="22"/>
                <w:szCs w:val="20"/>
              </w:rPr>
            </w:pPr>
            <w:r w:rsidRPr="003D284E">
              <w:rPr>
                <w:rFonts w:ascii="Calibri" w:eastAsia="Calibri" w:hAnsi="Calibri" w:cs="Times New Roman"/>
                <w:sz w:val="22"/>
                <w:szCs w:val="20"/>
              </w:rPr>
              <w:t>4,58</w:t>
            </w:r>
          </w:p>
        </w:tc>
        <w:tc>
          <w:tcPr>
            <w:tcW w:w="182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E6D56" w:rsidRDefault="003D2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водопроводная сеть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3,61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Pr="003D284E" w:rsidRDefault="003D284E">
            <w:pPr>
              <w:jc w:val="center"/>
              <w:rPr>
                <w:rFonts w:ascii="Calibri" w:eastAsia="Calibri" w:hAnsi="Calibri" w:cs="Times New Roman"/>
                <w:sz w:val="22"/>
                <w:szCs w:val="20"/>
              </w:rPr>
            </w:pPr>
            <w:r w:rsidRPr="003D284E">
              <w:rPr>
                <w:rFonts w:ascii="Calibri" w:eastAsia="Calibri" w:hAnsi="Calibri" w:cs="Times New Roman"/>
                <w:sz w:val="22"/>
                <w:szCs w:val="20"/>
              </w:rPr>
              <w:t>2,32</w:t>
            </w:r>
          </w:p>
        </w:tc>
        <w:tc>
          <w:tcPr>
            <w:tcW w:w="182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E6D56" w:rsidRDefault="003D2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децентрализ.водоснаб-е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2,75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Pr="003D284E" w:rsidRDefault="003D284E">
            <w:pPr>
              <w:jc w:val="center"/>
              <w:rPr>
                <w:rFonts w:ascii="Calibri" w:eastAsia="Calibri" w:hAnsi="Calibri" w:cs="Times New Roman"/>
                <w:sz w:val="22"/>
                <w:szCs w:val="20"/>
              </w:rPr>
            </w:pPr>
            <w:r w:rsidRPr="003D284E">
              <w:rPr>
                <w:rFonts w:ascii="Calibri" w:eastAsia="Calibri" w:hAnsi="Calibri" w:cs="Times New Roman"/>
                <w:sz w:val="22"/>
                <w:szCs w:val="20"/>
              </w:rPr>
              <w:t>4,83</w:t>
            </w:r>
          </w:p>
        </w:tc>
        <w:tc>
          <w:tcPr>
            <w:tcW w:w="182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9799" w:type="dxa"/>
            <w:gridSpan w:val="28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ЦУР 3.9.2. – Косвенные показатели территориальных баз данных</w:t>
            </w:r>
          </w:p>
        </w:tc>
        <w:tc>
          <w:tcPr>
            <w:tcW w:w="5787" w:type="dxa"/>
            <w:gridSpan w:val="8"/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c>
          <w:tcPr>
            <w:tcW w:w="9799" w:type="dxa"/>
            <w:gridSpan w:val="28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ЦУР 3.9.2. – Индикаторы управленческих решений</w:t>
            </w:r>
          </w:p>
        </w:tc>
        <w:tc>
          <w:tcPr>
            <w:tcW w:w="5787" w:type="dxa"/>
            <w:gridSpan w:val="8"/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1.26.1. Качество питьевой воды </w:t>
            </w:r>
            <w:r>
              <w:rPr>
                <w:rFonts w:ascii="Calibri" w:hAnsi="Calibri" w:cs="Times New Roman"/>
                <w:i/>
                <w:color w:val="000000"/>
                <w:sz w:val="24"/>
                <w:szCs w:val="24"/>
              </w:rPr>
              <w:t xml:space="preserve">(% проб, не отвечающих гигиенически нормам) </w:t>
            </w: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по санитарно-химическим показателям:</w:t>
            </w:r>
          </w:p>
          <w:p w:rsidR="009E6D56" w:rsidRDefault="003D284E">
            <w:pPr>
              <w:jc w:val="both"/>
              <w:rPr>
                <w:rFonts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Times New Roman"/>
                <w:i/>
                <w:color w:val="00A933"/>
                <w:sz w:val="24"/>
                <w:szCs w:val="24"/>
              </w:rPr>
              <w:t>источники централизованного водоснабжение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34,28</w:t>
            </w: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35,61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42,65</w:t>
            </w:r>
          </w:p>
        </w:tc>
        <w:tc>
          <w:tcPr>
            <w:tcW w:w="4069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</w:rPr>
            </w:pPr>
            <w:r>
              <w:rPr>
                <w:rFonts w:ascii="Calibri" w:eastAsia="Calibri" w:hAnsi="Calibri" w:cs="Times New Roman"/>
                <w:sz w:val="22"/>
              </w:rPr>
              <w:t>Не устанавливаются</w:t>
            </w: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iCs/>
                <w:color w:val="00A933"/>
                <w:sz w:val="20"/>
                <w:szCs w:val="20"/>
              </w:rPr>
              <w:lastRenderedPageBreak/>
              <w:t>Коммунальные водопроводы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4069" w:type="dxa"/>
            <w:gridSpan w:val="7"/>
            <w:vMerge/>
            <w:tcBorders>
              <w:top w:val="nil"/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iCs/>
                <w:color w:val="00A933"/>
                <w:sz w:val="20"/>
                <w:szCs w:val="20"/>
              </w:rPr>
              <w:t>Ведомственные водопроводы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11,01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4069" w:type="dxa"/>
            <w:gridSpan w:val="7"/>
            <w:vMerge/>
            <w:tcBorders>
              <w:top w:val="nil"/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</w:rPr>
            </w:pPr>
          </w:p>
        </w:tc>
      </w:tr>
      <w:tr w:rsidR="009E6D56">
        <w:trPr>
          <w:trHeight w:val="416"/>
        </w:trPr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  <w:sz w:val="24"/>
                <w:szCs w:val="24"/>
              </w:rPr>
              <w:t>децентрализованное водоснабжение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35,42</w:t>
            </w: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32,94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4069" w:type="dxa"/>
            <w:gridSpan w:val="7"/>
            <w:vMerge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1.26.2 Качество питьевой воды </w:t>
            </w:r>
            <w:r>
              <w:rPr>
                <w:rFonts w:ascii="Calibri" w:hAnsi="Calibri" w:cs="Times New Roman"/>
                <w:i/>
                <w:color w:val="000000"/>
                <w:sz w:val="24"/>
                <w:szCs w:val="24"/>
              </w:rPr>
              <w:t xml:space="preserve">(% проб, не отвечающих гигиенически нормам) </w:t>
            </w: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по микробиологическим показателям</w:t>
            </w: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green"/>
              </w:rPr>
              <w:t>:</w:t>
            </w:r>
          </w:p>
          <w:p w:rsidR="009E6D56" w:rsidRDefault="003D284E">
            <w:pPr>
              <w:jc w:val="both"/>
              <w:rPr>
                <w:rFonts w:eastAsia="Calibri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Times New Roman"/>
                <w:i/>
                <w:color w:val="00A933"/>
                <w:sz w:val="24"/>
                <w:szCs w:val="24"/>
              </w:rPr>
              <w:t>источники централизованное</w:t>
            </w:r>
            <w:r>
              <w:rPr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color w:val="00A933"/>
                <w:sz w:val="24"/>
                <w:szCs w:val="24"/>
              </w:rPr>
              <w:t>водоснабжение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4069" w:type="dxa"/>
            <w:gridSpan w:val="7"/>
            <w:vMerge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iCs/>
                <w:color w:val="00A933"/>
                <w:sz w:val="20"/>
                <w:szCs w:val="20"/>
              </w:rPr>
              <w:t>Коммунальные водопроводы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iCs/>
                <w:color w:val="00A933"/>
                <w:sz w:val="20"/>
                <w:szCs w:val="20"/>
              </w:rPr>
              <w:t>Ведомственные водопроводы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9E6D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4069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both"/>
              <w:rPr>
                <w:rFonts w:eastAsia="Calibri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Times New Roman"/>
                <w:b/>
                <w:i/>
                <w:color w:val="00A933"/>
                <w:sz w:val="24"/>
                <w:szCs w:val="24"/>
              </w:rPr>
              <w:t>децентрализованное водоснабжение.</w:t>
            </w: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5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7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17,12</w:t>
            </w:r>
          </w:p>
        </w:tc>
        <w:tc>
          <w:tcPr>
            <w:tcW w:w="17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4069" w:type="dxa"/>
            <w:gridSpan w:val="7"/>
            <w:tcBorders>
              <w:lef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2"/>
              </w:rPr>
              <w:t>Не устанавливаются</w:t>
            </w:r>
          </w:p>
        </w:tc>
      </w:tr>
      <w:tr w:rsidR="009E6D56">
        <w:tc>
          <w:tcPr>
            <w:tcW w:w="9799" w:type="dxa"/>
            <w:gridSpan w:val="28"/>
            <w:tcBorders>
              <w:right w:val="nil"/>
            </w:tcBorders>
            <w:shd w:val="clear" w:color="auto" w:fill="auto"/>
          </w:tcPr>
          <w:p w:rsidR="009E6D56" w:rsidRDefault="003D284E">
            <w:pPr>
              <w:tabs>
                <w:tab w:val="left" w:pos="9498"/>
              </w:tabs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ЦУР 3.9.2.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. - Раздел «Профессиональный тренинг»</w:t>
            </w:r>
          </w:p>
        </w:tc>
        <w:tc>
          <w:tcPr>
            <w:tcW w:w="5787" w:type="dxa"/>
            <w:gridSpan w:val="8"/>
            <w:shd w:val="clear" w:color="auto" w:fill="auto"/>
          </w:tcPr>
          <w:p w:rsidR="009E6D56" w:rsidRDefault="009E6D56">
            <w:pPr>
              <w:tabs>
                <w:tab w:val="left" w:pos="9498"/>
              </w:tabs>
              <w:ind w:right="-1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c>
          <w:tcPr>
            <w:tcW w:w="9799" w:type="dxa"/>
            <w:gridSpan w:val="28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 (%) охват тренингом  по вопросам управления общественным здоровьем в рамках выполнения показателя ЦУР 3.9.2.</w:t>
            </w:r>
          </w:p>
        </w:tc>
        <w:tc>
          <w:tcPr>
            <w:tcW w:w="5787" w:type="dxa"/>
            <w:gridSpan w:val="8"/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tabs>
                <w:tab w:val="left" w:pos="9498"/>
              </w:tabs>
              <w:ind w:right="-1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2.85.</w:t>
            </w:r>
          </w:p>
        </w:tc>
        <w:tc>
          <w:tcPr>
            <w:tcW w:w="7469" w:type="dxa"/>
            <w:gridSpan w:val="26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Показатель определяется экспертным путем, начало мониторинга 2020 г.</w:t>
            </w:r>
          </w:p>
        </w:tc>
        <w:tc>
          <w:tcPr>
            <w:tcW w:w="5787" w:type="dxa"/>
            <w:gridSpan w:val="8"/>
            <w:vMerge w:val="restart"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tabs>
                <w:tab w:val="left" w:pos="9498"/>
              </w:tabs>
              <w:ind w:right="-1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2.86.</w:t>
            </w:r>
          </w:p>
        </w:tc>
        <w:tc>
          <w:tcPr>
            <w:tcW w:w="7469" w:type="dxa"/>
            <w:gridSpan w:val="26"/>
            <w:vMerge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87" w:type="dxa"/>
            <w:gridSpan w:val="8"/>
            <w:vMerge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tabs>
                <w:tab w:val="left" w:pos="9498"/>
              </w:tabs>
              <w:ind w:right="-1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2.87.</w:t>
            </w:r>
          </w:p>
        </w:tc>
        <w:tc>
          <w:tcPr>
            <w:tcW w:w="7469" w:type="dxa"/>
            <w:gridSpan w:val="26"/>
            <w:vMerge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87" w:type="dxa"/>
            <w:gridSpan w:val="8"/>
            <w:vMerge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9E6D56">
        <w:tc>
          <w:tcPr>
            <w:tcW w:w="9799" w:type="dxa"/>
            <w:gridSpan w:val="28"/>
            <w:tcBorders>
              <w:righ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  (%) уровень информированности профгрупп по вопросам управления общественным здоровьем в рамках выполнения показателя ЦУР 3.9.2.</w:t>
            </w:r>
          </w:p>
        </w:tc>
        <w:tc>
          <w:tcPr>
            <w:tcW w:w="5787" w:type="dxa"/>
            <w:gridSpan w:val="8"/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tabs>
                <w:tab w:val="left" w:pos="9498"/>
              </w:tabs>
              <w:ind w:right="-1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2.89.</w:t>
            </w:r>
          </w:p>
        </w:tc>
        <w:tc>
          <w:tcPr>
            <w:tcW w:w="7469" w:type="dxa"/>
            <w:gridSpan w:val="26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9E6D56" w:rsidRDefault="003D28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Показатель определяется экспертным путем, начало мониторинга 2020 г.</w:t>
            </w:r>
          </w:p>
        </w:tc>
        <w:tc>
          <w:tcPr>
            <w:tcW w:w="5787" w:type="dxa"/>
            <w:gridSpan w:val="8"/>
            <w:vMerge w:val="restart"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E6D56">
        <w:tc>
          <w:tcPr>
            <w:tcW w:w="2330" w:type="dxa"/>
            <w:gridSpan w:val="2"/>
            <w:tcBorders>
              <w:right w:val="nil"/>
            </w:tcBorders>
            <w:shd w:val="clear" w:color="auto" w:fill="auto"/>
          </w:tcPr>
          <w:p w:rsidR="009E6D56" w:rsidRDefault="003D284E">
            <w:pPr>
              <w:tabs>
                <w:tab w:val="left" w:pos="9498"/>
              </w:tabs>
              <w:ind w:right="-1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2.90.</w:t>
            </w:r>
          </w:p>
        </w:tc>
        <w:tc>
          <w:tcPr>
            <w:tcW w:w="7469" w:type="dxa"/>
            <w:gridSpan w:val="26"/>
            <w:vMerge/>
            <w:tcBorders>
              <w:left w:val="nil"/>
              <w:righ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  <w:bookmarkStart w:id="2" w:name="OLE_LINK1"/>
            <w:bookmarkEnd w:id="2"/>
          </w:p>
        </w:tc>
        <w:tc>
          <w:tcPr>
            <w:tcW w:w="5787" w:type="dxa"/>
            <w:gridSpan w:val="8"/>
            <w:vMerge/>
            <w:tcBorders>
              <w:left w:val="nil"/>
            </w:tcBorders>
            <w:shd w:val="clear" w:color="auto" w:fill="auto"/>
          </w:tcPr>
          <w:p w:rsidR="009E6D56" w:rsidRDefault="009E6D56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</w:tbl>
    <w:p w:rsidR="009E6D56" w:rsidRDefault="009E6D56">
      <w:pPr>
        <w:jc w:val="center"/>
        <w:rPr>
          <w:rFonts w:cs="Times New Roman"/>
          <w:b/>
          <w:szCs w:val="30"/>
          <w:lang w:val="en-US"/>
        </w:rPr>
      </w:pPr>
    </w:p>
    <w:p w:rsidR="009E6D56" w:rsidRDefault="009E6D56">
      <w:pPr>
        <w:jc w:val="center"/>
        <w:rPr>
          <w:rFonts w:cs="Times New Roman"/>
          <w:b/>
          <w:szCs w:val="30"/>
          <w:lang w:val="en-US"/>
        </w:rPr>
      </w:pPr>
    </w:p>
    <w:p w:rsidR="009E6D56" w:rsidRDefault="003D284E">
      <w:pPr>
        <w:jc w:val="center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lastRenderedPageBreak/>
        <w:t xml:space="preserve">ПРОБЛЕМНО-ЦЕЛЕВОЙ АНАЛИЗ МОНИТОРИНГА ПОКАЗАТЕЛЯ ЦУР </w:t>
      </w:r>
      <w:r>
        <w:rPr>
          <w:b/>
          <w:szCs w:val="30"/>
        </w:rPr>
        <w:t>3.9.2</w:t>
      </w:r>
      <w:r>
        <w:rPr>
          <w:rFonts w:cs="Times New Roman"/>
          <w:b/>
          <w:szCs w:val="30"/>
        </w:rPr>
        <w:t xml:space="preserve"> </w:t>
      </w:r>
    </w:p>
    <w:p w:rsidR="009E6D56" w:rsidRDefault="009E6D56">
      <w:pPr>
        <w:jc w:val="center"/>
        <w:rPr>
          <w:rFonts w:cs="Times New Roman"/>
          <w:b/>
          <w:szCs w:val="30"/>
        </w:rPr>
      </w:pPr>
    </w:p>
    <w:tbl>
      <w:tblPr>
        <w:tblStyle w:val="afd"/>
        <w:tblW w:w="1470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2"/>
        <w:gridCol w:w="2833"/>
        <w:gridCol w:w="7374"/>
      </w:tblGrid>
      <w:tr w:rsidR="009E6D56">
        <w:tc>
          <w:tcPr>
            <w:tcW w:w="4502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i/>
                <w:sz w:val="28"/>
                <w:szCs w:val="28"/>
              </w:rPr>
              <w:t>Проблемные аспекты</w:t>
            </w:r>
          </w:p>
        </w:tc>
        <w:tc>
          <w:tcPr>
            <w:tcW w:w="2833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i/>
                <w:sz w:val="28"/>
                <w:szCs w:val="28"/>
              </w:rPr>
              <w:t>Причины</w:t>
            </w:r>
          </w:p>
        </w:tc>
        <w:tc>
          <w:tcPr>
            <w:tcW w:w="7374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9E6D56">
        <w:trPr>
          <w:trHeight w:val="1651"/>
        </w:trPr>
        <w:tc>
          <w:tcPr>
            <w:tcW w:w="4502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Требуется совершенствование  вирусологической составляющей в социально-гигиеническом мониторинге за качеством питьевой воды и безопасности сточных вод</w:t>
            </w:r>
          </w:p>
        </w:tc>
        <w:tc>
          <w:tcPr>
            <w:tcW w:w="2833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Отсутствует социальный заказ на научные исследования</w:t>
            </w:r>
          </w:p>
        </w:tc>
        <w:tc>
          <w:tcPr>
            <w:tcW w:w="7374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i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НПЦГ и </w:t>
            </w:r>
            <w:r>
              <w:rPr>
                <w:rFonts w:ascii="Calibri" w:hAnsi="Calibri" w:cs="Times New Roman"/>
                <w:sz w:val="24"/>
                <w:szCs w:val="24"/>
              </w:rPr>
              <w:t>РНПЦ Э и М совместной компоненты НИР по научному обоснованию и внедрению методов и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>нтегральной оценки рисков здоровью, ассоциированных с водопользованием, в рамках ОНТП «Гигиеническая безопасность» (2019-2021) – разработка методики количественной оценки микробиологических рисков, ассоциированных с водопользованием.</w:t>
            </w:r>
          </w:p>
        </w:tc>
      </w:tr>
      <w:tr w:rsidR="009E6D56">
        <w:trPr>
          <w:trHeight w:val="2997"/>
        </w:trPr>
        <w:tc>
          <w:tcPr>
            <w:tcW w:w="4502" w:type="dxa"/>
            <w:shd w:val="clear" w:color="auto" w:fill="auto"/>
          </w:tcPr>
          <w:p w:rsidR="009E6D56" w:rsidRDefault="003D284E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Требуется решение на государственном уровне  перевода шахтных 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колодцев, не соответствующих гигиеническим параметрам, </w:t>
            </w:r>
            <w:r>
              <w:rPr>
                <w:rFonts w:ascii="Calibri" w:hAnsi="Calibri" w:cs="Times New Roman"/>
                <w:sz w:val="24"/>
                <w:szCs w:val="24"/>
              </w:rPr>
              <w:t>в разряд источников технической воды и снятия их с учета как источников питьевого  водоснабжения.</w:t>
            </w:r>
          </w:p>
        </w:tc>
        <w:tc>
          <w:tcPr>
            <w:tcW w:w="2833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Отсутствует социальный заказ на разработку методологии на основе оценки рисков</w:t>
            </w:r>
          </w:p>
        </w:tc>
        <w:tc>
          <w:tcPr>
            <w:tcW w:w="7374" w:type="dxa"/>
            <w:shd w:val="clear" w:color="auto" w:fill="auto"/>
          </w:tcPr>
          <w:p w:rsidR="009E6D56" w:rsidRDefault="003D284E">
            <w:pPr>
              <w:pStyle w:val="af2"/>
              <w:ind w:left="0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 w:val="24"/>
                <w:szCs w:val="24"/>
              </w:rPr>
              <w:t xml:space="preserve"> Разработка алгоритма перевода шахтных </w:t>
            </w:r>
            <w:r>
              <w:rPr>
                <w:rFonts w:cs="Times New Roman"/>
                <w:bCs/>
                <w:sz w:val="24"/>
                <w:szCs w:val="24"/>
              </w:rPr>
              <w:t xml:space="preserve">колодцев, не соответствующих гигиеническим параметрам,  </w:t>
            </w:r>
            <w:r>
              <w:rPr>
                <w:rFonts w:cs="Times New Roman"/>
                <w:sz w:val="24"/>
                <w:szCs w:val="24"/>
              </w:rPr>
              <w:t>в разряд источников технической воды, с учетом практики применения, социально-экономических последствий для населенного пункта.</w:t>
            </w:r>
          </w:p>
          <w:p w:rsidR="009E6D56" w:rsidRDefault="003D284E">
            <w:pPr>
              <w:pStyle w:val="af2"/>
              <w:ind w:left="57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 w:val="24"/>
                <w:szCs w:val="24"/>
              </w:rPr>
              <w:t xml:space="preserve"> Инициирование территориальных целевых программ на благоустройство (восстановление)  колодцев (в том числе родников),  в которых вода стабильна по качеству и безопасности, за счет финансирования из областных целевых фондов, муниципальных бюджетов, а также финансирования из областных целевых фондов, муниципальных бюджетов, а также добровольных пожертвований от местного населения и бизнеса</w:t>
            </w:r>
          </w:p>
        </w:tc>
      </w:tr>
      <w:tr w:rsidR="009E6D56">
        <w:trPr>
          <w:trHeight w:val="2537"/>
        </w:trPr>
        <w:tc>
          <w:tcPr>
            <w:tcW w:w="4502" w:type="dxa"/>
            <w:shd w:val="clear" w:color="auto" w:fill="auto"/>
          </w:tcPr>
          <w:p w:rsidR="009E6D56" w:rsidRDefault="003D284E">
            <w:pPr>
              <w:suppressAutoHyphens/>
              <w:jc w:val="both"/>
              <w:rPr>
                <w:rFonts w:cs="Times New Roman"/>
                <w:color w:val="000000"/>
                <w:szCs w:val="30"/>
                <w:highlight w:val="white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Отсутствуют на национальном уровне данные о распространенности всех нормируемых в обязательном порядке показателей безопасности питьевой воды (например, бора, бария), что не позволяет на должном уровне проводит  анализ неинфекционной заболеваемости, ассоциированной с водным фактором</w:t>
            </w:r>
          </w:p>
        </w:tc>
        <w:tc>
          <w:tcPr>
            <w:tcW w:w="2833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Отсутствует социальный заказ</w:t>
            </w:r>
          </w:p>
          <w:p w:rsidR="009E6D56" w:rsidRDefault="009E6D56">
            <w:pPr>
              <w:jc w:val="both"/>
              <w:rPr>
                <w:rFonts w:cs="Times New Roman"/>
                <w:szCs w:val="30"/>
              </w:rPr>
            </w:pPr>
          </w:p>
        </w:tc>
        <w:tc>
          <w:tcPr>
            <w:tcW w:w="7374" w:type="dxa"/>
            <w:shd w:val="clear" w:color="auto" w:fill="auto"/>
          </w:tcPr>
          <w:p w:rsidR="009E6D56" w:rsidRDefault="003D284E">
            <w:pPr>
              <w:pStyle w:val="af2"/>
              <w:numPr>
                <w:ilvl w:val="0"/>
                <w:numId w:val="5"/>
              </w:numPr>
              <w:suppressAutoHyphens/>
              <w:ind w:left="33" w:firstLine="426"/>
              <w:jc w:val="both"/>
              <w:rPr>
                <w:rFonts w:cs="Times New Roman"/>
                <w:color w:val="000000"/>
                <w:szCs w:val="30"/>
                <w:highlight w:val="white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Разработка научно-обоснованной методологии сбора мониторинговых данных о качестве питьевой воды путем разработки электронной информационной системы (с онлайн-доступом к количественным показателям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фактическим значениям</w:t>
            </w:r>
            <w:r>
              <w:rPr>
                <w:rFonts w:ascii="Calibri" w:hAnsi="Calibri" w:cs="Times New Roman"/>
                <w:sz w:val="24"/>
                <w:szCs w:val="24"/>
              </w:rPr>
              <w:t>)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E6D56" w:rsidRDefault="003D284E">
            <w:pPr>
              <w:ind w:left="33" w:firstLine="426"/>
              <w:contextualSpacing/>
              <w:jc w:val="both"/>
              <w:rPr>
                <w:rFonts w:cs="Times New Roman"/>
                <w:color w:val="000000"/>
                <w:szCs w:val="30"/>
                <w:highlight w:val="yellow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2. Разработка и финансовое обоснование отраслевого плана модернизации программно-аппаратного комплекса санитарно-эпидемиологической службы для осуществления СГМ на основе проведения эпидемиологического анализа неинфекционной заболеваемости.</w:t>
            </w:r>
          </w:p>
        </w:tc>
      </w:tr>
      <w:tr w:rsidR="009E6D56">
        <w:trPr>
          <w:trHeight w:val="2537"/>
        </w:trPr>
        <w:tc>
          <w:tcPr>
            <w:tcW w:w="4502" w:type="dxa"/>
            <w:shd w:val="clear" w:color="auto" w:fill="auto"/>
          </w:tcPr>
          <w:p w:rsidR="009E6D56" w:rsidRDefault="003D284E">
            <w:pPr>
              <w:suppressAutoHyphens/>
              <w:jc w:val="both"/>
              <w:rPr>
                <w:rFonts w:cs="Times New Roman"/>
                <w:szCs w:val="30"/>
                <w:lang w:eastAsia="es-E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Требуется актуализация национальных нормативно-правовых актов и методических документов с учетом направлений совершенствования законодательных актов в Республике Беларусь, в том числе современных международных тенденций и членства в международных объединениях</w:t>
            </w:r>
          </w:p>
        </w:tc>
        <w:tc>
          <w:tcPr>
            <w:tcW w:w="2833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Отсутствие социального заказа</w:t>
            </w:r>
          </w:p>
        </w:tc>
        <w:tc>
          <w:tcPr>
            <w:tcW w:w="7374" w:type="dxa"/>
            <w:shd w:val="clear" w:color="auto" w:fill="auto"/>
          </w:tcPr>
          <w:p w:rsidR="009E6D56" w:rsidRDefault="003D284E">
            <w:pPr>
              <w:pStyle w:val="af2"/>
              <w:numPr>
                <w:ilvl w:val="0"/>
                <w:numId w:val="6"/>
              </w:numPr>
              <w:suppressAutoHyphens/>
              <w:ind w:left="57" w:firstLine="57"/>
              <w:jc w:val="both"/>
              <w:rPr>
                <w:rFonts w:cs="Times New Roman"/>
                <w:i/>
                <w:color w:val="000000"/>
                <w:szCs w:val="30"/>
                <w:highlight w:val="white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в действие актуализированных показателей безопасности питьевой воды, упакованных вод, требований к устройствам водоочистки и водоподготовки, разработанных с учетом международного опыта, современных научных данных о токсичности и опасности химических веществ    (в составе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единого Гигиенического норматива «Показатели безопасности и безвредности продукции и факторов среды обитания человека» -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актуализированного законодательства в области санитарно-эпидемиологического благополучия населения).</w:t>
            </w:r>
          </w:p>
          <w:p w:rsidR="009E6D56" w:rsidRDefault="003D284E">
            <w:pPr>
              <w:pStyle w:val="af2"/>
              <w:numPr>
                <w:ilvl w:val="0"/>
                <w:numId w:val="6"/>
              </w:numPr>
              <w:suppressAutoHyphens/>
              <w:ind w:left="57" w:firstLine="57"/>
              <w:jc w:val="both"/>
              <w:rPr>
                <w:rFonts w:cs="Times New Roman"/>
                <w:color w:val="000000"/>
                <w:szCs w:val="30"/>
                <w:highlight w:val="white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Введение в действующее законодательства в области санитарно-эпидемиологического благополучия населения требований к мониторингу легионеллеза, в том числе в объектах водопользования с акцентом на группы риска.</w:t>
            </w:r>
          </w:p>
          <w:p w:rsidR="009E6D56" w:rsidRDefault="003D284E">
            <w:pPr>
              <w:pStyle w:val="af2"/>
              <w:numPr>
                <w:ilvl w:val="0"/>
                <w:numId w:val="6"/>
              </w:numPr>
              <w:suppressAutoHyphens/>
              <w:ind w:left="57" w:hanging="57"/>
              <w:jc w:val="both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Выполнение НИР по обоснованию новых нормативов бария в питьевой воде.</w:t>
            </w:r>
          </w:p>
          <w:p w:rsidR="009E6D56" w:rsidRDefault="003D284E">
            <w:pPr>
              <w:pStyle w:val="af2"/>
              <w:numPr>
                <w:ilvl w:val="0"/>
                <w:numId w:val="6"/>
              </w:numPr>
              <w:suppressAutoHyphens/>
              <w:ind w:left="57" w:firstLine="57"/>
              <w:jc w:val="both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Выполнение НИР по усовершенствованию подходов к нормированию побочных продуктов дезинфекции с учетом множественных путей поступления.</w:t>
            </w:r>
          </w:p>
          <w:p w:rsidR="009E6D56" w:rsidRDefault="003D284E">
            <w:pPr>
              <w:pStyle w:val="af2"/>
              <w:numPr>
                <w:ilvl w:val="0"/>
                <w:numId w:val="6"/>
              </w:numPr>
              <w:suppressAutoHyphens/>
              <w:ind w:left="57" w:firstLine="57"/>
              <w:jc w:val="both"/>
              <w:rPr>
                <w:rFonts w:cs="Times New Roman"/>
                <w:szCs w:val="30"/>
              </w:rPr>
            </w:pPr>
            <w:r>
              <w:rPr>
                <w:sz w:val="24"/>
                <w:szCs w:val="24"/>
              </w:rPr>
              <w:t>Разработка методической базы для внедрения подходов анализа рисков в системах питьевого водоснабжения (с рассмотрением  возможности привлечения поддержки ВОЗ).</w:t>
            </w:r>
          </w:p>
        </w:tc>
      </w:tr>
      <w:tr w:rsidR="009E6D56">
        <w:trPr>
          <w:trHeight w:val="1116"/>
        </w:trPr>
        <w:tc>
          <w:tcPr>
            <w:tcW w:w="4502" w:type="dxa"/>
            <w:shd w:val="clear" w:color="auto" w:fill="auto"/>
          </w:tcPr>
          <w:p w:rsidR="009E6D56" w:rsidRDefault="003D284E">
            <w:pPr>
              <w:suppressAutoHyphens/>
              <w:jc w:val="both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Отсутствует базовый анализ качества питьевой воды в сельской местности, система </w:t>
            </w:r>
            <w:r>
              <w:rPr>
                <w:rFonts w:ascii="Calibri" w:hAnsi="Calibri" w:cs="Times New Roman"/>
                <w:sz w:val="24"/>
                <w:szCs w:val="24"/>
                <w:lang w:eastAsia="es-ES"/>
              </w:rPr>
              <w:t xml:space="preserve">мониторинга показателей безопасности питьевой воды децентрализованных систем водоснабжения с учетом необщественных источников </w:t>
            </w:r>
          </w:p>
        </w:tc>
        <w:tc>
          <w:tcPr>
            <w:tcW w:w="2833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Отсутствует социальный заказ</w:t>
            </w:r>
          </w:p>
        </w:tc>
        <w:tc>
          <w:tcPr>
            <w:tcW w:w="7374" w:type="dxa"/>
            <w:shd w:val="clear" w:color="auto" w:fill="auto"/>
          </w:tcPr>
          <w:p w:rsidR="009E6D56" w:rsidRDefault="003D284E">
            <w:pPr>
              <w:pStyle w:val="af2"/>
              <w:ind w:left="57"/>
              <w:jc w:val="both"/>
              <w:rPr>
                <w:rFonts w:cs="Times New Roman"/>
                <w:szCs w:val="3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 Проведение базового  анализа качества питьевой воды в децентрализованных системах питьевого водоснабжения в сельской местности, инвентаризацию источников децентрализованного питьевого водоснабжения с созданием реестра и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плана улучшения качества воды в сельской местности</w:t>
            </w:r>
          </w:p>
          <w:p w:rsidR="009E6D56" w:rsidRDefault="003D284E">
            <w:pPr>
              <w:pStyle w:val="af2"/>
              <w:ind w:left="57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2.Разработка системы</w:t>
            </w:r>
            <w:r>
              <w:rPr>
                <w:rFonts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s-ES"/>
              </w:rPr>
              <w:t>информирования населения, особенно групп риска (децентрализованные источники водоснабжения в семьях с маленькими детьми) о необходимости контроля качества воды, доочистки при угрозе загрязнения.</w:t>
            </w:r>
          </w:p>
          <w:p w:rsidR="009E6D56" w:rsidRDefault="003D284E">
            <w:pPr>
              <w:pStyle w:val="af2"/>
              <w:ind w:left="57"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 Проведение научных исследований для оценки рисков здоровью населения в связи с присутствием в воде децентрализованных источников с повышенным содержание азотсодержащих соединений.</w:t>
            </w:r>
          </w:p>
        </w:tc>
      </w:tr>
      <w:tr w:rsidR="009E6D56">
        <w:trPr>
          <w:trHeight w:val="2299"/>
        </w:trPr>
        <w:tc>
          <w:tcPr>
            <w:tcW w:w="4502" w:type="dxa"/>
            <w:shd w:val="clear" w:color="auto" w:fill="auto"/>
          </w:tcPr>
          <w:p w:rsidR="009E6D56" w:rsidRDefault="003D284E">
            <w:pPr>
              <w:suppressAutoHyphens/>
              <w:jc w:val="both"/>
              <w:rPr>
                <w:rFonts w:cs="Times New Roman"/>
                <w:color w:val="000000"/>
                <w:szCs w:val="30"/>
                <w:highlight w:val="green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Требуется совершенствование эпидемиологического анализа инфекционной заболеваемости, ассоциированной с водным фактором</w:t>
            </w:r>
          </w:p>
        </w:tc>
        <w:tc>
          <w:tcPr>
            <w:tcW w:w="2833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Отсутствует поставленная задача</w:t>
            </w:r>
          </w:p>
        </w:tc>
        <w:tc>
          <w:tcPr>
            <w:tcW w:w="7374" w:type="dxa"/>
            <w:shd w:val="clear" w:color="auto" w:fill="auto"/>
          </w:tcPr>
          <w:p w:rsidR="009E6D56" w:rsidRDefault="003D284E">
            <w:pPr>
              <w:jc w:val="both"/>
              <w:rPr>
                <w:rFonts w:eastAsia="Times New Roman" w:cs="Times New Roman"/>
                <w:szCs w:val="30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 Усовершенствование методологии эпидемиологической расследования случаев, потенциально связанных с водным фактором.</w:t>
            </w:r>
          </w:p>
          <w:p w:rsidR="009E6D56" w:rsidRDefault="003D284E">
            <w:pPr>
              <w:jc w:val="both"/>
              <w:rPr>
                <w:rFonts w:cs="Times New Roman"/>
                <w:szCs w:val="30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2. Развитие модуля «Эпидемиология» Единой информационной системы санитарно-эпидемиологической службы, переход на электронные формы учетной и отчетной документации (отражение мониторинга заболеваний, ассоциированных с водным фактором передачи как инфекционного так и неинфекционного характера) </w:t>
            </w:r>
          </w:p>
        </w:tc>
      </w:tr>
    </w:tbl>
    <w:p w:rsidR="009E6D56" w:rsidRDefault="009E6D56">
      <w:pPr>
        <w:jc w:val="center"/>
        <w:rPr>
          <w:rFonts w:cs="Times New Roman"/>
          <w:b/>
          <w:szCs w:val="30"/>
        </w:rPr>
      </w:pPr>
    </w:p>
    <w:p w:rsidR="009E6D56" w:rsidRDefault="003D284E">
      <w:pPr>
        <w:jc w:val="center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lastRenderedPageBreak/>
        <w:t xml:space="preserve">Направления деятельности органов и учреждений, осуществляющих государственный санитарный надзор, по усилению межведомственного взаимодействию с субъектами (объектами) социально-экономической деятельности на административных территориях для достижения показателя ЦУР </w:t>
      </w:r>
      <w:r>
        <w:rPr>
          <w:b/>
          <w:szCs w:val="30"/>
        </w:rPr>
        <w:t>3.9.2.</w:t>
      </w:r>
    </w:p>
    <w:p w:rsidR="009E6D56" w:rsidRDefault="009E6D56">
      <w:pPr>
        <w:jc w:val="center"/>
        <w:rPr>
          <w:rFonts w:cs="Times New Roman"/>
          <w:b/>
          <w:szCs w:val="30"/>
        </w:rPr>
      </w:pPr>
    </w:p>
    <w:p w:rsidR="009E6D56" w:rsidRDefault="003D284E">
      <w:pPr>
        <w:jc w:val="both"/>
        <w:rPr>
          <w:b/>
          <w:sz w:val="36"/>
          <w:szCs w:val="36"/>
        </w:rPr>
      </w:pPr>
      <w:r>
        <w:rPr>
          <w:b/>
        </w:rPr>
        <w:t>Задача межведомственного взаимодействия:</w:t>
      </w:r>
      <w:r>
        <w:t xml:space="preserve"> достижение к 2030 году высокого уровня межведомственного взаимодействия для обеспечения устойчивости качества и безопасности питьевого водоснабжения на административных территориях.</w:t>
      </w:r>
    </w:p>
    <w:p w:rsidR="009E6D56" w:rsidRDefault="009E6D56">
      <w:pPr>
        <w:tabs>
          <w:tab w:val="left" w:pos="1440"/>
        </w:tabs>
        <w:ind w:right="-113" w:firstLine="426"/>
        <w:jc w:val="both"/>
        <w:rPr>
          <w:rFonts w:cs="Times New Roman"/>
          <w:szCs w:val="30"/>
        </w:rPr>
      </w:pPr>
    </w:p>
    <w:tbl>
      <w:tblPr>
        <w:tblStyle w:val="afd"/>
        <w:tblW w:w="1478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06"/>
        <w:gridCol w:w="3827"/>
        <w:gridCol w:w="1700"/>
        <w:gridCol w:w="3053"/>
      </w:tblGrid>
      <w:tr w:rsidR="009E6D56">
        <w:tc>
          <w:tcPr>
            <w:tcW w:w="6205" w:type="dxa"/>
            <w:shd w:val="clear" w:color="auto" w:fill="auto"/>
            <w:vAlign w:val="center"/>
          </w:tcPr>
          <w:p w:rsidR="009E6D56" w:rsidRDefault="003D284E">
            <w:pPr>
              <w:spacing w:line="283" w:lineRule="exact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Области межведомственного взаимодействия: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E6D56" w:rsidRDefault="003D284E">
            <w:pPr>
              <w:spacing w:line="283" w:lineRule="exact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E6D56" w:rsidRDefault="003D284E">
            <w:pPr>
              <w:spacing w:line="283" w:lineRule="exact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Ориенти-ровочные сроки достижения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E6D56" w:rsidRDefault="003D284E">
            <w:pPr>
              <w:spacing w:line="283" w:lineRule="exact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Обоснование</w:t>
            </w:r>
          </w:p>
        </w:tc>
      </w:tr>
      <w:tr w:rsidR="009E6D56">
        <w:tc>
          <w:tcPr>
            <w:tcW w:w="6205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Создание целевой межотраслевой программы переработки проектной документации существующих  сетей сельских водопроводов с ревизией их инженерного, технического и санитарно-гигиенического состояния и выдачей новых уточненных генеральных схем водопроводов для каждого населенного пункта, утвержденных в установленном порядке.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Минский облисполком (управление ЖКХ Минского облисполкома, комитет по сельскому хозяйству и продовольствию Минского облисполкома),</w:t>
            </w:r>
          </w:p>
          <w:p w:rsidR="009E6D56" w:rsidRDefault="003D284E">
            <w:pPr>
              <w:spacing w:line="283" w:lineRule="exact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ГО «ЖКХ Минской области», </w:t>
            </w:r>
          </w:p>
          <w:p w:rsidR="009E6D56" w:rsidRDefault="003D284E">
            <w:pPr>
              <w:spacing w:line="283" w:lineRule="exact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рай(гор)исполкомы,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 2020 года и ежегодно 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 w:rsidP="003D4574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вода»,</w:t>
            </w:r>
            <w:r w:rsidR="003D4574">
              <w:rPr>
                <w:sz w:val="24"/>
                <w:szCs w:val="24"/>
              </w:rPr>
              <w:t xml:space="preserve"> </w:t>
            </w:r>
            <w:r w:rsidR="003D4574" w:rsidRPr="003D4574">
              <w:rPr>
                <w:sz w:val="24"/>
                <w:szCs w:val="24"/>
              </w:rPr>
              <w:t>в том числе в соответствии с «Комплексом мероприятий по обеспечению до 2025 года потребителей централизованного водоснабжения питьевой водой нормативного качества», утвержденным решением Минского областного исполнительного комитета от 10.12.2018 года № 1061</w:t>
            </w:r>
            <w:r w:rsidR="003D4574">
              <w:rPr>
                <w:sz w:val="24"/>
                <w:szCs w:val="24"/>
              </w:rPr>
              <w:t>,</w:t>
            </w:r>
            <w:r w:rsidR="003D4574" w:rsidRPr="003D45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НСУР-2030</w:t>
            </w:r>
          </w:p>
        </w:tc>
      </w:tr>
      <w:tr w:rsidR="009E6D56">
        <w:tc>
          <w:tcPr>
            <w:tcW w:w="6205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Разработка  нормативных правовых актов с целью содействия росту инвестиций в городское водопроводное  хозяйство.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  <w:highlight w:val="red"/>
              </w:rPr>
            </w:pPr>
            <w:r>
              <w:rPr>
                <w:sz w:val="24"/>
                <w:szCs w:val="24"/>
              </w:rPr>
              <w:t>Минжилкомхоз,  Минэкономики,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облисполкомы (Минский горисполком)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к 2025 году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Государственная программа «Комфортное жилье и благоприятная среда на 2016-2020 годы», </w:t>
            </w:r>
            <w:r>
              <w:rPr>
                <w:sz w:val="24"/>
                <w:szCs w:val="24"/>
              </w:rPr>
              <w:lastRenderedPageBreak/>
              <w:t>подпрограммой 5 которой является «Чистая вода»</w:t>
            </w:r>
          </w:p>
        </w:tc>
      </w:tr>
      <w:tr w:rsidR="009E6D56">
        <w:trPr>
          <w:trHeight w:val="1634"/>
        </w:trPr>
        <w:tc>
          <w:tcPr>
            <w:tcW w:w="6205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Развитие бизнес-проектов по производству средств технического назначения, предназначенных для эксплуатационного обслуживания малых водопроводов.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Минский  облисполком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(комитет экономики Минского облисполкома, управление ЖКХ Минского облисполкома, комитет по сельскому хозяйству и продовольствию Минского облисполкома, рай(горисполкомы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 2020 года и постоянно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</w:t>
            </w:r>
          </w:p>
        </w:tc>
      </w:tr>
      <w:tr w:rsidR="009E6D56">
        <w:tc>
          <w:tcPr>
            <w:tcW w:w="6205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Разработка проектов зон санитарной охраны для всех источников водоснабжения и территориальных планов  поэтапного выноса  объектов, потенциально влияющих на качество воды подземных горизонтов  (предприятия, склады минеральных удобрений, навозохранилища, свалки бытовых и промышленных отходов и др.).  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Минэкономики, облисполкомы (Минский горисполком)  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 2030 года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</w:t>
            </w:r>
            <w:r w:rsidR="003D4574">
              <w:rPr>
                <w:sz w:val="24"/>
                <w:szCs w:val="24"/>
              </w:rPr>
              <w:t xml:space="preserve">, </w:t>
            </w:r>
            <w:r w:rsidR="003D4574" w:rsidRPr="003D4574">
              <w:rPr>
                <w:sz w:val="24"/>
                <w:szCs w:val="24"/>
              </w:rPr>
              <w:t>в том числе в соответствии с «Комплексом мероприятий по обеспечению до 2025 года потребителей централизованного водоснабжения питьевой водой нормативного качества», утвержденным решением Минского областного исполнительного комитета от 10.12.2018 года № 1061</w:t>
            </w:r>
          </w:p>
        </w:tc>
      </w:tr>
      <w:tr w:rsidR="009E6D56">
        <w:tc>
          <w:tcPr>
            <w:tcW w:w="6205" w:type="dxa"/>
            <w:shd w:val="clear" w:color="auto" w:fill="auto"/>
          </w:tcPr>
          <w:p w:rsidR="009E6D56" w:rsidRDefault="003D284E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Дальнейшая профессиональная актуализация государственной социально-экономической политики по коренному улучшению  доступности жителей сельских населенных мест и малых городов к качественной и безопасной питьевой воде (организация эксплуатационно-технического обслуживания сельских источников водоснабжения и водопроводов на основе централизации или зональности).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Минский  облисполком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(комитет экономики Минского облисполкома, управление ЖКХ Минского облисполкома, комитет по сельскому хозяйству и продовольствию Минского облисполкома, рай(горисполкомы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с 2020 года и постоянно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</w:t>
            </w:r>
            <w:bookmarkStart w:id="3" w:name="_GoBack"/>
            <w:bookmarkEnd w:id="3"/>
            <w:r w:rsidR="003D4574">
              <w:rPr>
                <w:sz w:val="24"/>
                <w:szCs w:val="24"/>
              </w:rPr>
              <w:t xml:space="preserve">, </w:t>
            </w:r>
            <w:r w:rsidR="003D4574" w:rsidRPr="003D4574">
              <w:rPr>
                <w:sz w:val="24"/>
                <w:szCs w:val="24"/>
              </w:rPr>
              <w:t xml:space="preserve">в том числе в соответствии с «Комплексом мероприятий по обеспечению до 2025 </w:t>
            </w:r>
            <w:r w:rsidR="003D4574" w:rsidRPr="003D4574">
              <w:rPr>
                <w:sz w:val="24"/>
                <w:szCs w:val="24"/>
              </w:rPr>
              <w:lastRenderedPageBreak/>
              <w:t>года потребителей централизованного водоснабжения питьевой водой нормативного качества», утвержденным решением Минского областного исполнительного комитета от 10.12.2018 года № 1061</w:t>
            </w:r>
          </w:p>
        </w:tc>
      </w:tr>
      <w:tr w:rsidR="009E6D56">
        <w:tc>
          <w:tcPr>
            <w:tcW w:w="6205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Внедрение современных технологий утилизации и обезвреживания осадков сточных вод.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Минский облисполком, 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управление ЖКХ Минского облисполкома,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ГО «ЖКХ Минской области»,  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Минский областной комитет природных ресурсов и охраны окружающей среды  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 2020 года и постоянно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Стратегия в области охраны окружающей среды Республики Беларусь до 2025 года</w:t>
            </w:r>
          </w:p>
        </w:tc>
      </w:tr>
      <w:tr w:rsidR="009E6D56">
        <w:tc>
          <w:tcPr>
            <w:tcW w:w="6205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Приведение количественных и качественных норм сброса коммунальных и производственных сточных вод в соответствие с международными стандартами.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Минский облисполком, 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управление ЖКХ Минского облисполкома,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ГО «ЖКХ Минской области»,  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Минский областной комитет природных ресурсов и охраны окружающей среды  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 2025 года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Стратегия в области охраны окружающей среды Республики Беларусь до 2025 года</w:t>
            </w:r>
          </w:p>
        </w:tc>
      </w:tr>
      <w:tr w:rsidR="009E6D56">
        <w:trPr>
          <w:trHeight w:val="1494"/>
        </w:trPr>
        <w:tc>
          <w:tcPr>
            <w:tcW w:w="6205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Внедрение современных технологий утилизации и обезвреживания осадков сточных вод, продвижение  новых, альтернативных хлорированию, методы обеззараживания стоков, применительно к условиям Республики Беларусь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Минский облисполком, 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управление ЖКХ Минского облисполкома,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ГО «ЖКХ Минской области»,  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Минский областной комитет природных ресурсов и охраны окружающей среды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 2020 года и постоянно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Стратегия в области охраны окружающей среды Республики Беларусь до 2025 года</w:t>
            </w:r>
          </w:p>
        </w:tc>
      </w:tr>
      <w:tr w:rsidR="009E6D56">
        <w:tc>
          <w:tcPr>
            <w:tcW w:w="6205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Проведение на межотраслевом уровне исследований в системе «затраты-эффект»  при назначении мероприятий по улучшению состояния водоснабжения населения с оценкой доступности населения к качественной питьевой воде в сопоставлении с семейным бюджетом (с </w:t>
            </w:r>
            <w:r>
              <w:rPr>
                <w:sz w:val="24"/>
                <w:szCs w:val="24"/>
              </w:rPr>
              <w:lastRenderedPageBreak/>
              <w:t>применение статистических, эконмических и социально-гигиенических методов).</w:t>
            </w:r>
          </w:p>
        </w:tc>
        <w:tc>
          <w:tcPr>
            <w:tcW w:w="3827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lastRenderedPageBreak/>
              <w:t>Минский облисполком,</w:t>
            </w:r>
          </w:p>
          <w:p w:rsidR="009E6D56" w:rsidRDefault="003D284E">
            <w:pPr>
              <w:spacing w:line="283" w:lineRule="exact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НАН Беларуси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управление ЖКХ Минского облисполкома,</w:t>
            </w:r>
          </w:p>
          <w:p w:rsidR="009E6D56" w:rsidRDefault="003D284E">
            <w:pPr>
              <w:spacing w:line="283" w:lineRule="exact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ГО «ЖКХ Минской области»,  </w:t>
            </w:r>
          </w:p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Минский областной комитет природных ресурсов и охраны окружающей среды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до 2025 года</w:t>
            </w:r>
          </w:p>
        </w:tc>
        <w:tc>
          <w:tcPr>
            <w:tcW w:w="3053" w:type="dxa"/>
            <w:shd w:val="clear" w:color="auto" w:fill="auto"/>
          </w:tcPr>
          <w:p w:rsidR="009E6D56" w:rsidRDefault="003D284E">
            <w:pPr>
              <w:spacing w:line="283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Национальная стратегия устойчивого социально-экономического развития Республики Беларусь на период до 2030 года</w:t>
            </w:r>
          </w:p>
        </w:tc>
      </w:tr>
    </w:tbl>
    <w:p w:rsidR="009E6D56" w:rsidRDefault="009E6D56">
      <w:pPr>
        <w:sectPr w:rsidR="009E6D56">
          <w:headerReference w:type="default" r:id="rId10"/>
          <w:pgSz w:w="16838" w:h="11906" w:orient="landscape"/>
          <w:pgMar w:top="854" w:right="1134" w:bottom="566" w:left="1020" w:header="454" w:footer="0" w:gutter="0"/>
          <w:cols w:space="720"/>
          <w:formProt w:val="0"/>
          <w:docGrid w:linePitch="408"/>
        </w:sectPr>
      </w:pPr>
    </w:p>
    <w:p w:rsidR="009E6D56" w:rsidRDefault="003D284E">
      <w:pPr>
        <w:jc w:val="center"/>
        <w:rPr>
          <w:rFonts w:cs="Times New Roman"/>
          <w:b/>
          <w:bCs/>
          <w:szCs w:val="30"/>
        </w:rPr>
      </w:pPr>
      <w:r>
        <w:rPr>
          <w:rFonts w:cs="Times New Roman"/>
          <w:b/>
          <w:bCs/>
          <w:szCs w:val="30"/>
        </w:rPr>
        <w:lastRenderedPageBreak/>
        <w:t>Тематические направления информационной работы с населением для интеграции задач по достижению показателя ЦУР 3.9.2. с задачами по формированию здорового образа жизни (ФЗОЖ)</w:t>
      </w:r>
    </w:p>
    <w:p w:rsidR="009E6D56" w:rsidRDefault="009E6D56">
      <w:pPr>
        <w:ind w:firstLine="680"/>
        <w:jc w:val="both"/>
        <w:rPr>
          <w:rFonts w:cs="Times New Roman"/>
          <w:bCs/>
          <w:sz w:val="28"/>
          <w:szCs w:val="28"/>
        </w:rPr>
      </w:pPr>
    </w:p>
    <w:p w:rsidR="009E6D56" w:rsidRDefault="003D284E">
      <w:pPr>
        <w:ind w:firstLine="68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Цель интеграции достижения показателя ЦУР 3.9.2. с ФЗОЖ: </w:t>
      </w:r>
      <w:r>
        <w:rPr>
          <w:rFonts w:cs="Times New Roman"/>
          <w:bCs/>
          <w:sz w:val="28"/>
          <w:szCs w:val="28"/>
        </w:rPr>
        <w:t>пропаганда знаний населения о рисках здоровью  и повышению смертности, обусловленных качеством потребления питьевой воды, минимизация которых регулируется ответственным поведением по отношению к водопотреблению, в том числе с точки зрения оценки качества источников удовлетворения  потребностей в питьевой воде личных и в целом домашнего хозяйства.</w:t>
      </w:r>
    </w:p>
    <w:p w:rsidR="009E6D56" w:rsidRDefault="003D284E">
      <w:pPr>
        <w:ind w:firstLine="680"/>
        <w:jc w:val="both"/>
        <w:rPr>
          <w:rFonts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Методологическое обоснование тематических направлений </w:t>
      </w:r>
      <w:r>
        <w:rPr>
          <w:bCs/>
          <w:sz w:val="28"/>
          <w:szCs w:val="28"/>
        </w:rPr>
        <w:t>ориентировано на рекомендации ВОЗ по пропаганде рационального водопотребления и знание рисков, связанных с водопотреблением и н</w:t>
      </w:r>
      <w:r>
        <w:rPr>
          <w:sz w:val="28"/>
          <w:szCs w:val="28"/>
        </w:rPr>
        <w:t>еобходимость обеспечения критериальным аппаратом анализа достижения эффективности показателя ЦУР 3.9.2. в области продвижения проекта «Здоровые города и поселки».</w:t>
      </w:r>
    </w:p>
    <w:p w:rsidR="009E6D56" w:rsidRDefault="009E6D56">
      <w:pPr>
        <w:ind w:firstLine="680"/>
        <w:jc w:val="both"/>
        <w:rPr>
          <w:rFonts w:cs="Times New Roman"/>
          <w:bCs/>
          <w:sz w:val="28"/>
          <w:szCs w:val="28"/>
        </w:rPr>
      </w:pPr>
    </w:p>
    <w:tbl>
      <w:tblPr>
        <w:tblStyle w:val="afd"/>
        <w:tblpPr w:leftFromText="180" w:rightFromText="180" w:vertAnchor="text" w:horzAnchor="margin" w:tblpX="108" w:tblpY="373"/>
        <w:tblW w:w="940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302"/>
        <w:gridCol w:w="5103"/>
      </w:tblGrid>
      <w:tr w:rsidR="009E6D56">
        <w:trPr>
          <w:trHeight w:val="706"/>
        </w:trPr>
        <w:tc>
          <w:tcPr>
            <w:tcW w:w="4302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i/>
                <w:sz w:val="28"/>
                <w:szCs w:val="28"/>
              </w:rPr>
              <w:t>Тематическое направление</w:t>
            </w:r>
          </w:p>
          <w:p w:rsidR="009E6D56" w:rsidRDefault="009E6D56">
            <w:pPr>
              <w:jc w:val="center"/>
              <w:rPr>
                <w:rFonts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9E6D56" w:rsidRDefault="003D284E">
            <w:pPr>
              <w:jc w:val="center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i/>
                <w:sz w:val="28"/>
                <w:szCs w:val="28"/>
              </w:rPr>
              <w:t>Содержательная основа методической структуры</w:t>
            </w:r>
          </w:p>
        </w:tc>
      </w:tr>
      <w:tr w:rsidR="009E6D56">
        <w:tc>
          <w:tcPr>
            <w:tcW w:w="9404" w:type="dxa"/>
            <w:gridSpan w:val="2"/>
            <w:shd w:val="clear" w:color="auto" w:fill="auto"/>
          </w:tcPr>
          <w:p w:rsidR="009E6D56" w:rsidRDefault="003D284E">
            <w:pPr>
              <w:pStyle w:val="af2"/>
              <w:numPr>
                <w:ilvl w:val="0"/>
                <w:numId w:val="4"/>
              </w:numPr>
              <w:spacing w:beforeAutospacing="1" w:afterAutospacing="1"/>
              <w:ind w:left="0" w:firstLine="36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Поддержание водного баланса организма и питьевого поведения</w:t>
            </w:r>
          </w:p>
          <w:p w:rsidR="009E6D56" w:rsidRDefault="003D284E">
            <w:pPr>
              <w:pStyle w:val="af2"/>
              <w:tabs>
                <w:tab w:val="left" w:pos="443"/>
              </w:tabs>
              <w:ind w:left="317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 xml:space="preserve">      (ПРИЛОЖЕНИЕ) </w:t>
            </w:r>
          </w:p>
        </w:tc>
      </w:tr>
      <w:tr w:rsidR="009E6D56">
        <w:tc>
          <w:tcPr>
            <w:tcW w:w="9404" w:type="dxa"/>
            <w:gridSpan w:val="2"/>
            <w:shd w:val="clear" w:color="auto" w:fill="auto"/>
          </w:tcPr>
          <w:p w:rsidR="009E6D56" w:rsidRDefault="003D284E">
            <w:pPr>
              <w:pStyle w:val="af2"/>
              <w:numPr>
                <w:ilvl w:val="0"/>
                <w:numId w:val="4"/>
              </w:numPr>
              <w:ind w:left="0" w:firstLine="36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Критериальный аппарат достижения эффективности показателя ЦУР 3.9.2. в области продвижения проекта «Здоровые города и поселки»</w:t>
            </w:r>
          </w:p>
          <w:p w:rsidR="009E6D56" w:rsidRDefault="009E6D56">
            <w:pPr>
              <w:pStyle w:val="af2"/>
              <w:ind w:left="36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9E6D56" w:rsidRDefault="003D28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- снижение общей  смертности  от заболеваний  органов пищеварения; </w:t>
            </w:r>
          </w:p>
          <w:p w:rsidR="009E6D56" w:rsidRDefault="003D28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- снижение заболеваемости вирусными кишечными инфекциями с водным путем передачи;</w:t>
            </w:r>
          </w:p>
          <w:p w:rsidR="009E6D56" w:rsidRDefault="003D28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- снижение загрязненности питьевой воды из источников централизованного водоснабжения (</w:t>
            </w:r>
            <w:r>
              <w:rPr>
                <w:rFonts w:ascii="Calibri" w:hAnsi="Calibri" w:cs="Times New Roman"/>
                <w:i/>
                <w:sz w:val="28"/>
                <w:szCs w:val="28"/>
              </w:rPr>
              <w:t xml:space="preserve">коммунальных и ведомственных)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по санитарно-химическим и микробиологическим показателям;</w:t>
            </w:r>
          </w:p>
          <w:p w:rsidR="009E6D56" w:rsidRDefault="003D28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- оптимизация объемов  реализации бутилированной воды на фоне улучшения качества и повышения безопасности питьевой воды из источников  централизованного водоснабжения;</w:t>
            </w:r>
          </w:p>
          <w:p w:rsidR="009E6D56" w:rsidRDefault="003D28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-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рост доли населения частного сектора, пользующегося питьевой водой, подаваемой по водопроводу в помещение;</w:t>
            </w:r>
          </w:p>
          <w:p w:rsidR="009E6D56" w:rsidRDefault="003D28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-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снижение удельного  веса населения частного сектора, пользующегося колодцами для питья при наличии централизованного водопровода;</w:t>
            </w:r>
          </w:p>
          <w:p w:rsidR="009E6D56" w:rsidRDefault="003D28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-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снижение доли источников питьевого водоснабжения, у которых отсутствуют зоны санитарной охраны.</w:t>
            </w:r>
          </w:p>
          <w:p w:rsidR="009E6D56" w:rsidRDefault="003D28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- рост доли общежитий, где обеспечена разводка холодного и горячего водоснабжения по комнатам.</w:t>
            </w:r>
          </w:p>
        </w:tc>
      </w:tr>
    </w:tbl>
    <w:p w:rsidR="009E6D56" w:rsidRDefault="009E6D56">
      <w:pPr>
        <w:jc w:val="both"/>
        <w:rPr>
          <w:rFonts w:cs="Times New Roman"/>
          <w:b/>
          <w:bCs/>
          <w:sz w:val="28"/>
          <w:szCs w:val="28"/>
        </w:rPr>
      </w:pPr>
    </w:p>
    <w:p w:rsidR="009E6D56" w:rsidRDefault="009E6D56">
      <w:pPr>
        <w:rPr>
          <w:sz w:val="28"/>
          <w:szCs w:val="28"/>
        </w:rPr>
      </w:pPr>
    </w:p>
    <w:p w:rsidR="009E6D56" w:rsidRDefault="009E6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right"/>
        <w:rPr>
          <w:szCs w:val="30"/>
        </w:rPr>
      </w:pPr>
    </w:p>
    <w:p w:rsidR="009E6D56" w:rsidRDefault="003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30"/>
        </w:rPr>
      </w:pPr>
      <w:r>
        <w:rPr>
          <w:szCs w:val="30"/>
        </w:rPr>
        <w:t>ПРИЛОЖЕНИЕ</w:t>
      </w:r>
    </w:p>
    <w:p w:rsidR="009E6D56" w:rsidRDefault="009E6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9E6D56" w:rsidRDefault="003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 «Основы здорового образа жизни: питание и физическая активность. Под ред. М. Гурра.  Перев. с англ. А. Решетов. </w:t>
      </w:r>
      <w:r>
        <w:rPr>
          <w:b/>
          <w:i/>
          <w:sz w:val="28"/>
          <w:szCs w:val="28"/>
          <w:lang w:val="en-US"/>
        </w:rPr>
        <w:t>ILSI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Europe</w:t>
      </w:r>
      <w:r>
        <w:rPr>
          <w:b/>
          <w:i/>
          <w:sz w:val="28"/>
          <w:szCs w:val="28"/>
        </w:rPr>
        <w:t xml:space="preserve"> 1998. 60 </w:t>
      </w:r>
      <w:r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>.»</w:t>
      </w:r>
    </w:p>
    <w:p w:rsidR="009E6D56" w:rsidRDefault="009E6D56">
      <w:pPr>
        <w:rPr>
          <w:rFonts w:cs="Times New Roman"/>
          <w:sz w:val="28"/>
          <w:szCs w:val="28"/>
        </w:rPr>
      </w:pPr>
    </w:p>
    <w:p w:rsidR="009E6D56" w:rsidRDefault="003D284E">
      <w:pPr>
        <w:jc w:val="center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ПОТРЕБЛЕНИЕ ЖИДКОСТИ КАК ОДНОЙ ИЗ ОСНОВ ЗДОРОВОГО ОБРАЗА ЖИЗНИ.</w:t>
      </w:r>
    </w:p>
    <w:p w:rsidR="009E6D56" w:rsidRDefault="009E6D56">
      <w:pPr>
        <w:rPr>
          <w:rFonts w:cs="Times New Roman"/>
          <w:sz w:val="28"/>
          <w:szCs w:val="28"/>
        </w:rPr>
      </w:pPr>
    </w:p>
    <w:p w:rsidR="009E6D56" w:rsidRDefault="003D284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Значение воды в организме.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Потребление жидкости является одной из важнейших потребностей человека. Человек может прожить  без еды более 50 дней, но без питья – всего несколько дней. 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Вода – это главная составная часть организма, на долю которой приходится около 60% массы тела (42 литра) у мужчины весом 70 кг и несколько меньше у женщины, поскольку у нее больше доля жира в организме. В течение жизни человека доля воды колеблется в организме  младенца около 75%. А у пожилого человека – всего 55%.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В воде человеческого  организма происходят все биологические реакции. Для них необходимо, чтобы растворенные молекулы и электролиты сохраняли относительно постоянные концентрации и осмотическое давление. Отклонения от нормальных концентраций электролитов в жидкостях организма переносятся плохо и требуют немедленной коррекции такими процессами, как питье, выработка мочи и потение. Баланс электролитов и жидкостей необходимо рассматривать вместе, так как растворенные электролиты (важнейшие из них являются натрий [</w:t>
      </w:r>
      <w:r>
        <w:rPr>
          <w:rFonts w:cs="Times New Roman"/>
          <w:sz w:val="28"/>
          <w:szCs w:val="28"/>
          <w:lang w:val="en-US"/>
        </w:rPr>
        <w:t>Na</w:t>
      </w:r>
      <w:r>
        <w:rPr>
          <w:rFonts w:cs="Times New Roman"/>
          <w:sz w:val="28"/>
          <w:szCs w:val="28"/>
        </w:rPr>
        <w:t>+], калий [</w:t>
      </w:r>
      <w:r>
        <w:rPr>
          <w:rFonts w:cs="Times New Roman"/>
          <w:sz w:val="28"/>
          <w:szCs w:val="28"/>
          <w:lang w:val="en-US"/>
        </w:rPr>
        <w:t>K</w:t>
      </w:r>
      <w:r>
        <w:rPr>
          <w:rFonts w:cs="Times New Roman"/>
          <w:sz w:val="28"/>
          <w:szCs w:val="28"/>
        </w:rPr>
        <w:t>+]и хлор [</w:t>
      </w:r>
      <w:r>
        <w:rPr>
          <w:rFonts w:cs="Times New Roman"/>
          <w:sz w:val="28"/>
          <w:szCs w:val="28"/>
          <w:lang w:val="en-US"/>
        </w:rPr>
        <w:t>Cl</w:t>
      </w:r>
      <w:r>
        <w:rPr>
          <w:rFonts w:cs="Times New Roman"/>
          <w:sz w:val="28"/>
          <w:szCs w:val="28"/>
        </w:rPr>
        <w:t>-]) отвечают за поддержание осмотического давления и электролитического потенциала на мембранах клеток. Электрический потенциал важен для многих клеток, в частности, проводимости нервных импульсов.</w:t>
      </w:r>
    </w:p>
    <w:p w:rsidR="009E6D56" w:rsidRDefault="003D284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Распределение воды в организме.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В организме вода распределена внутри клеток, а также во внеклеточном пространстве.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Внутриклеточная вода</w:t>
      </w:r>
      <w:r>
        <w:rPr>
          <w:rFonts w:cs="Times New Roman"/>
          <w:sz w:val="28"/>
          <w:szCs w:val="28"/>
        </w:rPr>
        <w:t>.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воду внутри клеток приходится 50% всей воды в организме. Клетки могут принимать или отдавать воду, соответственно, расширяясь или уменьшаясь. Внутриклеточная жидкость главным образом в результате концентрации ионов К+ является изотонической и находится в осмотическом равновесии с внеклеточным пространством, где преобладающим ионом является </w:t>
      </w:r>
      <w:r>
        <w:rPr>
          <w:rFonts w:cs="Times New Roman"/>
          <w:sz w:val="28"/>
          <w:szCs w:val="28"/>
          <w:lang w:val="en-US"/>
        </w:rPr>
        <w:t>Na</w:t>
      </w:r>
      <w:r>
        <w:rPr>
          <w:rFonts w:cs="Times New Roman"/>
          <w:sz w:val="28"/>
          <w:szCs w:val="28"/>
        </w:rPr>
        <w:t>+.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Внеклеточная вода</w:t>
      </w:r>
      <w:r>
        <w:rPr>
          <w:rFonts w:cs="Times New Roman"/>
          <w:sz w:val="28"/>
          <w:szCs w:val="28"/>
        </w:rPr>
        <w:t>.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Внеклеточное пространство включает в себя обширные и не вполне четко определенные промежутки между клетками, а также артерии, вены и лимфатические сосуды. В него также  входит весь большой объем кишечника. </w:t>
      </w:r>
    </w:p>
    <w:p w:rsidR="009E6D56" w:rsidRDefault="003D284E">
      <w:pPr>
        <w:ind w:firstLine="73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Васкулярное и экстраваскулярное отделения сообщаются между собой и уравновешивают свое содержание жидкости. В отличие от внутриклеточного </w:t>
      </w:r>
      <w:r>
        <w:rPr>
          <w:rFonts w:cs="Times New Roman"/>
          <w:sz w:val="28"/>
          <w:szCs w:val="28"/>
        </w:rPr>
        <w:lastRenderedPageBreak/>
        <w:t>отделения,  внеклеточное пространство допускает большую степень отклонения от нормы в любом направлении, что придает ему роль резервуара, выпускающего воду в клетки или принимающего ее из клеток и тем самым поддерживающего содержание воды во внутриклеточном пространстве на необходимом уровне.</w:t>
      </w:r>
    </w:p>
    <w:p w:rsidR="009E6D56" w:rsidRDefault="003D284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Потребности в воде и источники, входящие в состав пищи.</w:t>
      </w:r>
    </w:p>
    <w:p w:rsidR="009E6D56" w:rsidRDefault="003D284E">
      <w:pPr>
        <w:ind w:firstLine="68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В северных странах при обычных условиях потребление воды должно составлять примерно 2 литра в день, в то время как в жарком климате при тяжелой физической работе потребность может доходить до 10 литров. Вода поступает в организм с теми жидкостями, которые мы пьем, и в меньшей степени с продуктами, которые мы едим. Небольшое ее количество вырабатывается в результате обменных процессов, связанных превращением пищи, в частности, жирового обмена.</w:t>
      </w:r>
    </w:p>
    <w:p w:rsidR="009E6D56" w:rsidRDefault="003D284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Потери воды и обезвоживание</w:t>
      </w:r>
      <w:r>
        <w:rPr>
          <w:rFonts w:cs="Times New Roman"/>
          <w:sz w:val="28"/>
          <w:szCs w:val="28"/>
        </w:rPr>
        <w:t>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Вода выходит из организма все время. Регулярные потери воды связаны с несколькими жизненно важными функциями. Воздух, которым мы дышим, насыщается водой в легких перед выдохом. Пищеварение требует большого объема жидкости, что бы в ней могли функционировать пищеварительные ферменты,  и чтобы она помогала переносу веществ через стенки кишечника в кровоток. 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Часть этой жидкости выходит с калом. Значительное количество всасывается и играет важную роль тем, что помогает почкам выделять продукты жизнедеятельности в моче. Такие регулярные потери должны также регулярно компенсироваться.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Переменные или нерегулярные потери жидкости, помимо регулярных, диктуются главным образом не внутренними, а внешними условиями. 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переменной потерей является выделение пота, которое помогает охлаждать организм и регулировать температуру тела.  Пот – это не просто вода. Он содержит соль (</w:t>
      </w:r>
      <w:r>
        <w:rPr>
          <w:rFonts w:cs="Times New Roman"/>
          <w:sz w:val="28"/>
          <w:szCs w:val="28"/>
          <w:lang w:val="en-US"/>
        </w:rPr>
        <w:t>Na</w:t>
      </w:r>
      <w:r>
        <w:rPr>
          <w:rFonts w:cs="Times New Roman"/>
          <w:sz w:val="28"/>
          <w:szCs w:val="28"/>
        </w:rPr>
        <w:t>+</w:t>
      </w:r>
      <w:r>
        <w:rPr>
          <w:rFonts w:cs="Times New Roman"/>
          <w:sz w:val="28"/>
          <w:szCs w:val="28"/>
          <w:lang w:val="en-US"/>
        </w:rPr>
        <w:t>Cl</w:t>
      </w:r>
      <w:r>
        <w:rPr>
          <w:rFonts w:cs="Times New Roman"/>
          <w:sz w:val="28"/>
          <w:szCs w:val="28"/>
        </w:rPr>
        <w:t xml:space="preserve">-), концентрация которой составляет примерно половину концентрации в жидкости, находящиеся в организме, но может быть и менее одной трети у людей, которые адаптировались к жаркому климату или регулярно получают физическую нагрузку. Поэтому, если были допущены чрезмерные потери жидкости (например,  в результате физической нагрузки при высокой температуре и влажности воздуха), недостаточно выпить просто больше воды, а нужны также и дополнительные электролиты. 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Требуемое количество потребляемой жидкости и нужная концентрация электролитов в ней зависят от индивидуальных особенностей.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 жидкости требуется и в других обстоятельствах. Например, почкам нужно больше воды для выведения продуктов жизнедеятельности при большом потреблении белков, а кишечнику может понадобиться  больше воды для переваривания некоторых видов пищевых продуктов. Например, дети преобразуют в ходе обмена веществ большое количество, и их потребности в воде высоки, тогда как у пожилых людей содержание воды в организме сравнительно ниже, и у них потребности иные. Такие состояния, как рвота и понос, также создают дополнительные потребности  в воде и электролитах.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Термин «дегидратация» обычно применяется для обозначения состояний комбинированного истощения запасов воды и натрия, тогда как термин «обезвоживание» обозначает потери только воды. 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Поддержание баланса воды и минералов в организме имеет жизненно важное  значение. Потери лишь нескольких процентов  внеклеточной жидкости достаточно для того, чтобы вызвать в лучшем случае некоторый дискомфорт, а в худшем случае – умственную и физическую усталость, после которой наступает высокая температура, головокружение, головная боль, рвота, делирий, а затем кома. Хотя тяжелая форма дегидратации бывает редко, легкая дегидратация встречается часто в повседневной жизни, например, среди работников тяжелого физического  труда, военнослужащих, спортсменов и даже туристов, не знакомы с потребностями организма в жидкости в жарком климате.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причины дегидратации могут быть обусловлены возрастом, болезнью, клинически вмешательством, условиями окружающей среды или теми условиями, в которых человек сам себя поставил.</w:t>
      </w:r>
    </w:p>
    <w:p w:rsidR="009E6D56" w:rsidRDefault="003D284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Поддержание баланса водного обмена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Поддержание постоянного баланса воды и минеральных веществ в организме требуют координации чувствительных рецепторов в различных точках организма, связанных нервными проводящими путями с соответствующими центрами в головном мозге, которые обрабатывают эту информацию. Команды от центров к «исполнительным органам» (почкам, потовым железам и слюнным железам) и к отделам головного мозга, отвечающим коррективные действия, такие как питье, передаются определенными нервами и несколькими гормонами и нейроактивными веществами.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Большинство составных элементов баланса водного обмена (таблица 1), регулируются гомеостатическими механизмами, реагирующими на состояние водного баланса в организме. Это очень тонкие, чувствительные и точные механизмы, которые приводятся в действие нехваткой или избытком воды в количестве лишь несколько сот миллилитров.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Дефицит воды вызывает повышение ионной концентрации внеклеточного пространства, которое принимает воду из клеток, заставляя их уменьшаться в размере. Это уменьшение обнаруживается рецепторами мозга двух типов: один регулирует питье и питьевое поведение, а другой – выделение мочи, посылая команду в почки, в основном посредством антидиуретического гормона вазопрессина, вырабатывать меньший объем более концентрированной мочи. Когда организм содержит излишки воды, происходят обратные процессы: пониженная ионная концентрация в организме дает возможность большому количеству воды попасть во внутриклеточное пространство. Клетки впитывают воду, потребление жидкости тормозится, и почки выделяют больше воды.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почки играют ключевую роль в регулировании водного баланса организма. В целом почки функционируют более эффективно при обильном поступлении воды. Если почки экономят воду, вырабатывая более концентрированную мочу, это оборачивается повышенным расходом энергии и большим износом тканей почек. Особенно высока вероятность этого в тех </w:t>
      </w:r>
      <w:r>
        <w:rPr>
          <w:rFonts w:cs="Times New Roman"/>
          <w:sz w:val="28"/>
          <w:szCs w:val="28"/>
        </w:rPr>
        <w:lastRenderedPageBreak/>
        <w:t>случаях, когда почки находятся в состоянии стресса, например, когда рацион питания содержит чрезмерное количества соли или токсических веществ, которые необходимо вывести из организма. Это в конечном итоге может ослабить почки в последующем увеличить рис повышенного артериального давления. Следовательно, потребление большого количества воды помогает защитить этот жизненно важный орган.</w:t>
      </w:r>
    </w:p>
    <w:p w:rsidR="009E6D56" w:rsidRDefault="003D284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Питьевое поведение</w:t>
      </w:r>
    </w:p>
    <w:p w:rsidR="009E6D56" w:rsidRDefault="003D284E">
      <w:pPr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Регулирующее питье. 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Помимо выделения мочи, другим важным процессом регулирования водного баланса является питье, которое в свою очередь регулируется ощущением жажды. 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два четко различающихся механизма физиологической жажды: внутриклеточный и внеклеточный.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Когда организм теряет только воду, ионная концентрация повышается. В результате внутриклеточное пространство отдает часть своей воды во внутриклеточное отделение. И в этом случае происходящее в результате уменьшения размеров клеток фиксируется рецепторами мозга, которые посылают команды с помощью гормонов инициировать процесс питья. 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Когда же потери воды сопровождаются потерями ионов (например, </w:t>
      </w:r>
      <w:r>
        <w:rPr>
          <w:rFonts w:cs="Times New Roman"/>
          <w:sz w:val="28"/>
          <w:szCs w:val="28"/>
          <w:lang w:val="en-US"/>
        </w:rPr>
        <w:t>Na</w:t>
      </w:r>
      <w:r>
        <w:rPr>
          <w:rFonts w:cs="Times New Roman"/>
          <w:sz w:val="28"/>
          <w:szCs w:val="28"/>
        </w:rPr>
        <w:t>+</w:t>
      </w:r>
      <w:r>
        <w:rPr>
          <w:rFonts w:cs="Times New Roman"/>
          <w:sz w:val="28"/>
          <w:szCs w:val="28"/>
          <w:lang w:val="en-US"/>
        </w:rPr>
        <w:t>Cl</w:t>
      </w:r>
      <w:r>
        <w:rPr>
          <w:rFonts w:cs="Times New Roman"/>
          <w:sz w:val="28"/>
          <w:szCs w:val="28"/>
        </w:rPr>
        <w:t>-при потении и поносе), внутриклеточное отделение остается изотоническим (сохраняет устойчивую концентрацию ионов), хотя и сокращается в объеме. Компенсация этого изотонического состояния питьем чистой воды вызывает чрезмерное разведения внутриклеточного пространства. Поэтому жажда, связанная с рецепторами, которые управляют внеклеточным пространством, сопровождается повышение потребности в соли.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Вот почему люди, которые обильно потеют, предпочитают напитки, относительно богатые солями </w:t>
      </w:r>
      <w:r>
        <w:rPr>
          <w:rFonts w:cs="Times New Roman"/>
          <w:sz w:val="28"/>
          <w:szCs w:val="28"/>
          <w:lang w:val="en-US"/>
        </w:rPr>
        <w:t>Na</w:t>
      </w:r>
      <w:r>
        <w:rPr>
          <w:rFonts w:cs="Times New Roman"/>
          <w:sz w:val="28"/>
          <w:szCs w:val="28"/>
        </w:rPr>
        <w:t>+, а не чистую воду. При чрезмерном потоотделении всегда очень важно добавлять в напитки соль. Концентрация ионов в поте составляет лишь половину их концентрации в жидкости в организме, поэтому замена жидкости, потерянной в виде пота, потреблением такого же объема чистой воды восстановит объем воды, но одновременно также вызовет понижение концентрации соли  во внеклеточном пространстве.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этого клетки разбухают, заметно подавляя желание попить. А дальнейшее отделение пота останется некомпенсированным из-за продолжающегося уменьшения объема внеклеточного пространства и будет нейтрализовано поступающими в головной мозг сигналами о том, что внутриклеточное пространство перенасыщено водой.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Эту проблему могут испытывать пожилые люди. Потребление слишком большого дополнительного количества соли для них неприемлемо, так как это создает угрозу артериальной гипертонии и заболеваний сердца. Из-за того, что запасы воды у пожилых людей невелики, возможно, было бы благоразумно, если бы они научились пить регулярно, даже тогда, когда не испытывают жажды, и умеренно увеличивали бы свое потребление соли при потении. 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Правильное понимание этих принципов может помочь предотвратить внезапную гипотензию и инсульт или чрезмерную утомляемость, которые могут привести к порочному кругу, и, в конце концов, к госпитализации.</w:t>
      </w:r>
    </w:p>
    <w:p w:rsidR="009E6D56" w:rsidRDefault="003D284E">
      <w:pPr>
        <w:ind w:firstLine="737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>«Решение» головного мозга начать или прекратить питье и выбрать наиболее походящий напиток принимается задолго до того, как потребленная жидкость сможет дойти до внутри- и внеклеточного пространства. Вкусовые сосочки в ротовой полости посылают информацию в головной мозг о характере и прежде всего о солености потребленной жидкости, и возникает нейронный ответ, как если бы вода уже попала в кровоток. Это так называемые упреждающие рефлексы: они не могут быть целиком отнесены 2 «головным рефлексам», поскольку инициируются в кишечнике, а также в ротовой полости.</w:t>
      </w:r>
    </w:p>
    <w:p w:rsidR="009E6D56" w:rsidRDefault="009E6D56">
      <w:pPr>
        <w:jc w:val="both"/>
        <w:rPr>
          <w:rFonts w:cs="Times New Roman"/>
          <w:sz w:val="28"/>
          <w:szCs w:val="28"/>
        </w:rPr>
      </w:pPr>
    </w:p>
    <w:p w:rsidR="009E6D56" w:rsidRDefault="003D284E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Питье, не зависящее от физиологической потребности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Время от времени все могут испытывать жажду, но у здоровых людей, живущих в умеренном климате, ее роль в повседневном регулировании потребления воды, невелика. Обычно мы потребляем жидкости не для того, что бы утолить жажду, а лишь в качестве ингредиентов повседневной жизни (например, суп, молоко), напитков, являющихся легкими возбуждающими средствами (чай, кофе), и просто для удовольствия. 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Типичным примером является потребление алкоголя (пиво, вино и т.п.), которое способно увеличить удовольствие для человека и стимулировать его социальное общение. Напитки также потребляются  из-за их энергетической ценности, как в случае безалкогольных напитков и молока, а также используются в жаркую погоду для охлаждения и в холодную погоду для согревания.  Такое питье, по-видимому,  тоже регулируется посредством вкусовых сосочков, которые сообщаются с головным мозгом по своего рода «системе вознаграждения», механизмы которой только сейчас начинаются становиться понятным. Такая «субъективность» в том, как люди восстанавливают в себе потерянное количество воды, может даже быть и преимуществом, поскольку она позволяет возмещать потери воды еще до того, как возникает вызывающая жажду дегидратация.</w:t>
      </w:r>
    </w:p>
    <w:p w:rsidR="009E6D56" w:rsidRDefault="003D284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сожалению, эта субъективность несет в себе и некоторые недостатки, Потребление жидкостей помимо воды может вносить  вклад в потребление калорийных пищевых веществ сверх необходимых потребностей или в потреблении алкоголя, которое у некоторых людей может незаметно создать алкогольную зависимость.</w:t>
      </w:r>
    </w:p>
    <w:sectPr w:rsidR="009E6D56">
      <w:headerReference w:type="default" r:id="rId11"/>
      <w:pgSz w:w="11906" w:h="16838"/>
      <w:pgMar w:top="1134" w:right="566" w:bottom="993" w:left="1701" w:header="454" w:footer="0" w:gutter="0"/>
      <w:cols w:space="720"/>
      <w:formProt w:val="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49" w:rsidRDefault="00814849">
      <w:r>
        <w:separator/>
      </w:r>
    </w:p>
  </w:endnote>
  <w:endnote w:type="continuationSeparator" w:id="0">
    <w:p w:rsidR="00814849" w:rsidRDefault="008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49" w:rsidRDefault="00814849">
      <w:r>
        <w:separator/>
      </w:r>
    </w:p>
  </w:footnote>
  <w:footnote w:type="continuationSeparator" w:id="0">
    <w:p w:rsidR="00814849" w:rsidRDefault="00814849">
      <w:r>
        <w:continuationSeparator/>
      </w:r>
    </w:p>
  </w:footnote>
  <w:footnote w:id="1">
    <w:p w:rsidR="009E6D56" w:rsidRDefault="003D284E">
      <w:pPr>
        <w:jc w:val="both"/>
        <w:rPr>
          <w:rFonts w:cs="Times New Roman"/>
        </w:rPr>
      </w:pPr>
      <w:r>
        <w:rPr>
          <w:rStyle w:val="a9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56" w:rsidRDefault="003D284E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3D4574">
      <w:rPr>
        <w:noProof/>
      </w:rPr>
      <w:t>11</w:t>
    </w:r>
    <w:r>
      <w:fldChar w:fldCharType="end"/>
    </w:r>
  </w:p>
  <w:p w:rsidR="009E6D56" w:rsidRDefault="009E6D5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56" w:rsidRDefault="003D284E">
    <w:pPr>
      <w:pStyle w:val="af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574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D56" w:rsidRDefault="003D284E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3D4574">
      <w:rPr>
        <w:noProof/>
      </w:rPr>
      <w:t>27</w:t>
    </w:r>
    <w:r>
      <w:fldChar w:fldCharType="end"/>
    </w:r>
  </w:p>
  <w:p w:rsidR="009E6D56" w:rsidRDefault="009E6D5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517DE"/>
    <w:multiLevelType w:val="multilevel"/>
    <w:tmpl w:val="B9325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E80B22"/>
    <w:multiLevelType w:val="multilevel"/>
    <w:tmpl w:val="AF32C788"/>
    <w:lvl w:ilvl="0">
      <w:start w:val="1"/>
      <w:numFmt w:val="upperRoman"/>
      <w:lvlText w:val="%1."/>
      <w:lvlJc w:val="left"/>
      <w:pPr>
        <w:ind w:left="2110" w:hanging="975"/>
      </w:pPr>
    </w:lvl>
    <w:lvl w:ilvl="1">
      <w:start w:val="69"/>
      <w:numFmt w:val="decimal"/>
      <w:lvlText w:val="%1.%2."/>
      <w:lvlJc w:val="left"/>
      <w:pPr>
        <w:ind w:left="4691" w:hanging="720"/>
      </w:pPr>
    </w:lvl>
    <w:lvl w:ilvl="2">
      <w:start w:val="1"/>
      <w:numFmt w:val="decimal"/>
      <w:lvlText w:val="%1.%2.%3."/>
      <w:lvlJc w:val="left"/>
      <w:pPr>
        <w:ind w:left="4691" w:hanging="720"/>
      </w:pPr>
    </w:lvl>
    <w:lvl w:ilvl="3">
      <w:start w:val="1"/>
      <w:numFmt w:val="decimal"/>
      <w:lvlText w:val="%1.%2.%3.%4."/>
      <w:lvlJc w:val="left"/>
      <w:pPr>
        <w:ind w:left="5051" w:hanging="1080"/>
      </w:pPr>
    </w:lvl>
    <w:lvl w:ilvl="4">
      <w:start w:val="1"/>
      <w:numFmt w:val="decimal"/>
      <w:lvlText w:val="%1.%2.%3.%4.%5."/>
      <w:lvlJc w:val="left"/>
      <w:pPr>
        <w:ind w:left="5051" w:hanging="1080"/>
      </w:pPr>
    </w:lvl>
    <w:lvl w:ilvl="5">
      <w:start w:val="1"/>
      <w:numFmt w:val="decimal"/>
      <w:lvlText w:val="%1.%2.%3.%4.%5.%6."/>
      <w:lvlJc w:val="left"/>
      <w:pPr>
        <w:ind w:left="5411" w:hanging="1440"/>
      </w:pPr>
    </w:lvl>
    <w:lvl w:ilvl="6">
      <w:start w:val="1"/>
      <w:numFmt w:val="decimal"/>
      <w:lvlText w:val="%1.%2.%3.%4.%5.%6.%7."/>
      <w:lvlJc w:val="left"/>
      <w:pPr>
        <w:ind w:left="5771" w:hanging="1800"/>
      </w:pPr>
    </w:lvl>
    <w:lvl w:ilvl="7">
      <w:start w:val="1"/>
      <w:numFmt w:val="decimal"/>
      <w:lvlText w:val="%1.%2.%3.%4.%5.%6.%7.%8."/>
      <w:lvlJc w:val="left"/>
      <w:pPr>
        <w:ind w:left="5771" w:hanging="1800"/>
      </w:pPr>
    </w:lvl>
    <w:lvl w:ilvl="8">
      <w:start w:val="1"/>
      <w:numFmt w:val="decimal"/>
      <w:lvlText w:val="%1.%2.%3.%4.%5.%6.%7.%8.%9."/>
      <w:lvlJc w:val="left"/>
      <w:pPr>
        <w:ind w:left="6131" w:hanging="2160"/>
      </w:pPr>
    </w:lvl>
  </w:abstractNum>
  <w:abstractNum w:abstractNumId="2">
    <w:nsid w:val="23A65212"/>
    <w:multiLevelType w:val="multilevel"/>
    <w:tmpl w:val="912485C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4A33EA9"/>
    <w:multiLevelType w:val="multilevel"/>
    <w:tmpl w:val="30A0E23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B55A2A"/>
    <w:multiLevelType w:val="multilevel"/>
    <w:tmpl w:val="739C8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467FBB"/>
    <w:multiLevelType w:val="multilevel"/>
    <w:tmpl w:val="F5CEA2C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A91706"/>
    <w:multiLevelType w:val="multilevel"/>
    <w:tmpl w:val="CD142C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E473354"/>
    <w:multiLevelType w:val="multilevel"/>
    <w:tmpl w:val="C66EE538"/>
    <w:lvl w:ilvl="0">
      <w:start w:val="1"/>
      <w:numFmt w:val="decimal"/>
      <w:lvlText w:val="%1."/>
      <w:lvlJc w:val="left"/>
      <w:pPr>
        <w:ind w:left="1636" w:hanging="360"/>
      </w:pPr>
      <w:rPr>
        <w:rFonts w:eastAsia="Calibri" w:cs="Times New Roman"/>
        <w:sz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20516F4"/>
    <w:multiLevelType w:val="multilevel"/>
    <w:tmpl w:val="69FEA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6"/>
    <w:rsid w:val="003C0BC1"/>
    <w:rsid w:val="003D284E"/>
    <w:rsid w:val="003D4574"/>
    <w:rsid w:val="00814849"/>
    <w:rsid w:val="00901193"/>
    <w:rsid w:val="009E6D56"/>
    <w:rsid w:val="00B9292E"/>
    <w:rsid w:val="00E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13279-D7C4-4FBE-BA8D-7A7B1B5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DD"/>
    <w:rPr>
      <w:sz w:val="30"/>
    </w:rPr>
  </w:style>
  <w:style w:type="paragraph" w:styleId="5">
    <w:name w:val="heading 5"/>
    <w:basedOn w:val="a"/>
    <w:link w:val="50"/>
    <w:qFormat/>
    <w:rsid w:val="005060DE"/>
    <w:pPr>
      <w:keepNext/>
      <w:jc w:val="center"/>
      <w:outlineLvl w:val="4"/>
    </w:pPr>
    <w:rPr>
      <w:rFonts w:eastAsia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1E3D"/>
  </w:style>
  <w:style w:type="character" w:customStyle="1" w:styleId="a4">
    <w:name w:val="Нижний колонтитул Знак"/>
    <w:basedOn w:val="a0"/>
    <w:uiPriority w:val="99"/>
    <w:qFormat/>
    <w:rsid w:val="00311E3D"/>
  </w:style>
  <w:style w:type="character" w:customStyle="1" w:styleId="a5">
    <w:name w:val="Текст выноски Знак"/>
    <w:basedOn w:val="a0"/>
    <w:uiPriority w:val="99"/>
    <w:semiHidden/>
    <w:qFormat/>
    <w:rsid w:val="000A67B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qFormat/>
    <w:rsid w:val="005060DE"/>
    <w:rPr>
      <w:rFonts w:eastAsia="Times New Roman" w:cs="Times New Roman"/>
      <w:i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qFormat/>
    <w:rsid w:val="005060DE"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Название Знак"/>
    <w:basedOn w:val="a0"/>
    <w:qFormat/>
    <w:rsid w:val="005060DE"/>
    <w:rPr>
      <w:rFonts w:eastAsia="Times New Rom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semiHidden/>
    <w:qFormat/>
    <w:rsid w:val="006B05AA"/>
    <w:rPr>
      <w:rFonts w:asciiTheme="minorHAnsi" w:hAnsiTheme="minorHAnsi"/>
      <w:sz w:val="16"/>
      <w:szCs w:val="16"/>
    </w:rPr>
  </w:style>
  <w:style w:type="character" w:customStyle="1" w:styleId="a7">
    <w:name w:val="Без интервала Знак"/>
    <w:uiPriority w:val="1"/>
    <w:qFormat/>
    <w:locked/>
    <w:rsid w:val="00D5269B"/>
    <w:rPr>
      <w:rFonts w:eastAsia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rsid w:val="00DE7D68"/>
    <w:rPr>
      <w:color w:val="0000FF"/>
      <w:u w:val="single"/>
    </w:rPr>
  </w:style>
  <w:style w:type="character" w:customStyle="1" w:styleId="2">
    <w:name w:val="Заголовок №2"/>
    <w:basedOn w:val="a0"/>
    <w:qFormat/>
    <w:rsid w:val="00DE7D68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FFFFFF"/>
      <w:spacing w:val="-10"/>
      <w:w w:val="100"/>
      <w:sz w:val="88"/>
      <w:szCs w:val="8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D403B"/>
    <w:rPr>
      <w:vertAlign w:val="superscript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ы концевой сноски"/>
    <w:qFormat/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34"/>
    <w:qFormat/>
    <w:rsid w:val="00311E3D"/>
    <w:pPr>
      <w:ind w:left="720"/>
      <w:contextualSpacing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311E3D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311E3D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unhideWhenUsed/>
    <w:qFormat/>
    <w:rsid w:val="000A67B6"/>
    <w:rPr>
      <w:rFonts w:ascii="Tahoma" w:hAnsi="Tahoma" w:cs="Tahoma"/>
      <w:sz w:val="16"/>
      <w:szCs w:val="16"/>
    </w:rPr>
  </w:style>
  <w:style w:type="paragraph" w:styleId="af7">
    <w:name w:val="Normal (Web)"/>
    <w:basedOn w:val="a"/>
    <w:unhideWhenUsed/>
    <w:qFormat/>
    <w:rsid w:val="00E45988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5060DE"/>
    <w:pPr>
      <w:widowControl w:val="0"/>
      <w:spacing w:line="343" w:lineRule="exact"/>
      <w:ind w:firstLine="691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f8">
    <w:name w:val="Title"/>
    <w:basedOn w:val="a"/>
    <w:qFormat/>
    <w:rsid w:val="005060DE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30">
    <w:name w:val="Body Text Indent 3"/>
    <w:basedOn w:val="a"/>
    <w:semiHidden/>
    <w:unhideWhenUsed/>
    <w:qFormat/>
    <w:rsid w:val="006B05AA"/>
    <w:pPr>
      <w:spacing w:after="120" w:line="276" w:lineRule="auto"/>
      <w:ind w:left="283"/>
    </w:pPr>
    <w:rPr>
      <w:rFonts w:asciiTheme="minorHAnsi" w:hAnsiTheme="minorHAnsi"/>
      <w:sz w:val="16"/>
      <w:szCs w:val="16"/>
    </w:rPr>
  </w:style>
  <w:style w:type="paragraph" w:styleId="af9">
    <w:name w:val="No Spacing"/>
    <w:uiPriority w:val="1"/>
    <w:qFormat/>
    <w:rsid w:val="00D5269B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DE7D68"/>
    <w:rPr>
      <w:rFonts w:ascii="Calibri" w:eastAsia="Calibri" w:hAnsi="Calibri" w:cs="Calibri"/>
      <w:color w:val="000000"/>
      <w:sz w:val="24"/>
      <w:szCs w:val="24"/>
    </w:rPr>
  </w:style>
  <w:style w:type="paragraph" w:styleId="afa">
    <w:name w:val="footnote text"/>
    <w:basedOn w:val="a"/>
  </w:style>
  <w:style w:type="paragraph" w:customStyle="1" w:styleId="1">
    <w:name w:val="Без интервала1"/>
    <w:qFormat/>
    <w:pPr>
      <w:suppressAutoHyphens/>
    </w:pPr>
    <w:rPr>
      <w:rFonts w:cs="Times New Roman"/>
      <w:kern w:val="2"/>
      <w:sz w:val="30"/>
      <w:szCs w:val="30"/>
      <w:lang w:eastAsia="zh-CN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911C96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millenniumgoa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1EBA-638D-40CB-AD98-493DD9B3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7804</Words>
  <Characters>44488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Спургяш</dc:creator>
  <dc:description/>
  <cp:lastModifiedBy>1</cp:lastModifiedBy>
  <cp:revision>4</cp:revision>
  <cp:lastPrinted>2020-07-13T09:04:00Z</cp:lastPrinted>
  <dcterms:created xsi:type="dcterms:W3CDTF">2021-07-21T12:00:00Z</dcterms:created>
  <dcterms:modified xsi:type="dcterms:W3CDTF">2021-07-22T06:15:00Z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