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60" w:rsidRDefault="00622E61">
      <w:pPr>
        <w:spacing w:after="0" w:line="28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УЧРЕЖДЕНИЕ</w:t>
      </w:r>
    </w:p>
    <w:p w:rsidR="005F2E60" w:rsidRDefault="00622E61">
      <w:pPr>
        <w:spacing w:line="280" w:lineRule="exact"/>
        <w:jc w:val="center"/>
      </w:pPr>
      <w:r>
        <w:t xml:space="preserve">«МИНСКИЙ ОБЛАСТНОЙ ЦЕНТР ГИГИЕНЫ, ЭПИДЕМИОЛОГИИ И </w:t>
      </w:r>
      <w:r>
        <w:br/>
        <w:t>ОБЩЕСТВЕННОГО ЗДОРОВЬЯ»</w:t>
      </w:r>
    </w:p>
    <w:p w:rsidR="005F2E60" w:rsidRDefault="005F2E60">
      <w:pPr>
        <w:jc w:val="center"/>
      </w:pPr>
    </w:p>
    <w:p w:rsidR="005F2E60" w:rsidRDefault="005F2E60">
      <w:pPr>
        <w:jc w:val="center"/>
      </w:pPr>
    </w:p>
    <w:p w:rsidR="005F2E60" w:rsidRDefault="005F2E60">
      <w:pPr>
        <w:jc w:val="center"/>
      </w:pPr>
    </w:p>
    <w:p w:rsidR="005F2E60" w:rsidRDefault="005F2E60">
      <w:pPr>
        <w:jc w:val="center"/>
      </w:pPr>
    </w:p>
    <w:p w:rsidR="005F2E60" w:rsidRDefault="005F2E60">
      <w:pPr>
        <w:jc w:val="center"/>
      </w:pPr>
    </w:p>
    <w:p w:rsidR="005F2E60" w:rsidRDefault="005F2E60">
      <w:pPr>
        <w:jc w:val="center"/>
      </w:pPr>
    </w:p>
    <w:p w:rsidR="005F2E60" w:rsidRDefault="005F2E60">
      <w:pPr>
        <w:jc w:val="center"/>
      </w:pPr>
    </w:p>
    <w:p w:rsidR="005F2E60" w:rsidRDefault="005F2E60">
      <w:pPr>
        <w:jc w:val="center"/>
      </w:pPr>
    </w:p>
    <w:p w:rsidR="005F2E60" w:rsidRDefault="005F2E60">
      <w:pPr>
        <w:jc w:val="center"/>
        <w:rPr>
          <w:i/>
        </w:rPr>
      </w:pPr>
    </w:p>
    <w:p w:rsidR="005F2E60" w:rsidRDefault="005F2E60">
      <w:pPr>
        <w:jc w:val="right"/>
        <w:rPr>
          <w:i/>
        </w:rPr>
      </w:pPr>
    </w:p>
    <w:p w:rsidR="005F2E60" w:rsidRDefault="00622E61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ПРОГРАММА</w:t>
      </w:r>
    </w:p>
    <w:p w:rsidR="005F2E60" w:rsidRDefault="00622E61">
      <w:pPr>
        <w:jc w:val="center"/>
        <w:rPr>
          <w:sz w:val="36"/>
          <w:szCs w:val="36"/>
        </w:rPr>
      </w:pPr>
      <w:r>
        <w:rPr>
          <w:sz w:val="36"/>
          <w:szCs w:val="36"/>
        </w:rPr>
        <w:t>достижения показателя Цели устойчивого развития</w:t>
      </w:r>
    </w:p>
    <w:p w:rsidR="005F2E60" w:rsidRDefault="005F2E60">
      <w:pPr>
        <w:jc w:val="center"/>
        <w:rPr>
          <w:sz w:val="36"/>
          <w:szCs w:val="36"/>
        </w:rPr>
      </w:pPr>
    </w:p>
    <w:p w:rsidR="005F2E60" w:rsidRDefault="00622E61">
      <w:pPr>
        <w:jc w:val="center"/>
        <w:rPr>
          <w:b/>
          <w:sz w:val="36"/>
          <w:szCs w:val="36"/>
        </w:rPr>
        <w:sectPr w:rsidR="005F2E60">
          <w:pgSz w:w="11906" w:h="16838"/>
          <w:pgMar w:top="1134" w:right="566" w:bottom="1134" w:left="1701" w:header="0" w:footer="0" w:gutter="0"/>
          <w:cols w:space="720"/>
          <w:formProt w:val="0"/>
          <w:docGrid w:linePitch="408"/>
        </w:sectPr>
      </w:pPr>
      <w:r>
        <w:rPr>
          <w:b/>
          <w:sz w:val="36"/>
          <w:szCs w:val="36"/>
        </w:rPr>
        <w:t>3.9.1 «Смертность от загрязнения воздуха в жилых помещениях и атмосферного воздуха»</w:t>
      </w:r>
    </w:p>
    <w:p w:rsidR="005F2E60" w:rsidRDefault="00622E61">
      <w:pPr>
        <w:jc w:val="center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lastRenderedPageBreak/>
        <w:t>Введение</w:t>
      </w:r>
    </w:p>
    <w:p w:rsidR="005F2E60" w:rsidRDefault="00622E61">
      <w:pPr>
        <w:spacing w:after="0" w:line="240" w:lineRule="auto"/>
        <w:ind w:firstLine="680"/>
        <w:jc w:val="both"/>
      </w:pPr>
      <w:r>
        <w:rPr>
          <w:b/>
          <w:bCs/>
        </w:rPr>
        <w:t xml:space="preserve">Воздух </w:t>
      </w:r>
      <w:r>
        <w:rPr>
          <w:bCs/>
        </w:rPr>
        <w:t>— смесь газов главным образом азота и кислорода —</w:t>
      </w:r>
      <w:r>
        <w:rPr>
          <w:bCs/>
        </w:rPr>
        <w:br/>
        <w:t>98-99 % в сумме и зависит от влажности (концентрации водяного пара), а также аргона, углекислого газа, водорода, образующая земную атмосферу. Воздух необходим для нормального существования на Земле живых организмов. Кислород, содержащийся в воздухе, в процессе дыхания поступает в клетки организма и используется в процессе окисления, в результате которого происходит выделение необходимой для жизни энергии (метаболизм, аэробы). В промышленности и в быту кислород воздуха используется для сжигания топлива с целью получения тепла и механической энергии в двигателях внутреннего сгорания. Из воздуха, используя метод сжижения, добывают инертные газы. В соответствии с  Законом Республики Беларусь от 16 декабря 2008 г. № 2-З «Об охране атмосферного воздуха», принятый Палатой представителей 21 ноября 2008 года и одобренный Советом Республики 28 ноября 2008 года под атмосферным воздухом понимается «компонент природной среды, представляющий собой естественную смесь газов атмосферы, находящуюся за пределами жилых, производственных и иных помещений».</w:t>
      </w:r>
    </w:p>
    <w:p w:rsidR="005F2E60" w:rsidRDefault="00622E61">
      <w:pPr>
        <w:spacing w:line="240" w:lineRule="auto"/>
        <w:ind w:firstLine="680"/>
        <w:jc w:val="both"/>
      </w:pPr>
      <w:r>
        <w:rPr>
          <w:bCs/>
        </w:rPr>
        <w:t>В 1754 году Джозеф Блэк экспериментально доказал, что воздух представляет собой смесь газов, а не простое вещество.</w:t>
      </w:r>
    </w:p>
    <w:p w:rsidR="005F2E60" w:rsidRDefault="00622E61">
      <w:pPr>
        <w:spacing w:line="240" w:lineRule="auto"/>
        <w:ind w:firstLine="680"/>
        <w:jc w:val="center"/>
      </w:pPr>
      <w:r>
        <w:t>Химический состав осушенного воздуха:</w:t>
      </w:r>
    </w:p>
    <w:tbl>
      <w:tblPr>
        <w:tblW w:w="9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2335"/>
        <w:gridCol w:w="2031"/>
        <w:gridCol w:w="2717"/>
      </w:tblGrid>
      <w:tr w:rsidR="005F2E60">
        <w:trPr>
          <w:tblHeader/>
        </w:trPr>
        <w:tc>
          <w:tcPr>
            <w:tcW w:w="2433" w:type="dxa"/>
            <w:shd w:val="clear" w:color="auto" w:fill="EAECF0"/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Вещество</w:t>
            </w:r>
          </w:p>
        </w:tc>
        <w:tc>
          <w:tcPr>
            <w:tcW w:w="2335" w:type="dxa"/>
            <w:shd w:val="clear" w:color="auto" w:fill="EAECF0"/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2031" w:type="dxa"/>
            <w:shd w:val="clear" w:color="auto" w:fill="EAECF0"/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объёму, %</w:t>
            </w:r>
          </w:p>
        </w:tc>
        <w:tc>
          <w:tcPr>
            <w:tcW w:w="2717" w:type="dxa"/>
            <w:shd w:val="clear" w:color="auto" w:fill="EAECF0"/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массе, %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7">
              <w:r w:rsidR="00622E61">
                <w:rPr>
                  <w:sz w:val="24"/>
                  <w:szCs w:val="24"/>
                </w:rPr>
                <w:t>Азот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N2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78,084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8">
              <w:r w:rsidR="00622E61">
                <w:rPr>
                  <w:sz w:val="24"/>
                  <w:szCs w:val="24"/>
                </w:rPr>
                <w:t>Кислород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O2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20,9476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23,15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9">
              <w:r w:rsidR="00622E61">
                <w:rPr>
                  <w:sz w:val="24"/>
                  <w:szCs w:val="24"/>
                </w:rPr>
                <w:t>Аргон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0,934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1,292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10">
              <w:r w:rsidR="00622E61">
                <w:rPr>
                  <w:sz w:val="24"/>
                  <w:szCs w:val="24"/>
                </w:rPr>
                <w:t>Углекислый газ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0,046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11">
              <w:r w:rsidR="00622E61">
                <w:rPr>
                  <w:sz w:val="24"/>
                  <w:szCs w:val="24"/>
                </w:rPr>
                <w:t>Неон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0,001818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0,0014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12">
              <w:r w:rsidR="00622E61">
                <w:rPr>
                  <w:sz w:val="24"/>
                  <w:szCs w:val="24"/>
                </w:rPr>
                <w:t>Криптон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Kr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0,000114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13">
              <w:r w:rsidR="00622E61">
                <w:rPr>
                  <w:sz w:val="24"/>
                  <w:szCs w:val="24"/>
                </w:rPr>
                <w:t>Метан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CH4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0,000084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14">
              <w:r w:rsidR="00622E61">
                <w:rPr>
                  <w:sz w:val="24"/>
                  <w:szCs w:val="24"/>
                </w:rPr>
                <w:t>Гелий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He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0,000524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0,000073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15">
              <w:r w:rsidR="00622E61">
                <w:rPr>
                  <w:sz w:val="24"/>
                  <w:szCs w:val="24"/>
                </w:rPr>
                <w:t>Водород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H2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0,00005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0,00008</w:t>
            </w:r>
          </w:p>
        </w:tc>
      </w:tr>
      <w:tr w:rsidR="005F2E60">
        <w:tc>
          <w:tcPr>
            <w:tcW w:w="243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292AC3">
            <w:pPr>
              <w:spacing w:line="240" w:lineRule="auto"/>
              <w:ind w:firstLine="680"/>
              <w:jc w:val="both"/>
            </w:pPr>
            <w:hyperlink r:id="rId16">
              <w:r w:rsidR="00622E61">
                <w:rPr>
                  <w:sz w:val="24"/>
                  <w:szCs w:val="24"/>
                </w:rPr>
                <w:t>Ксенон</w:t>
              </w:r>
            </w:hyperlink>
          </w:p>
        </w:tc>
        <w:tc>
          <w:tcPr>
            <w:tcW w:w="233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Xe</w:t>
            </w:r>
          </w:p>
        </w:tc>
        <w:tc>
          <w:tcPr>
            <w:tcW w:w="2031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0,0000087</w:t>
            </w:r>
          </w:p>
        </w:tc>
        <w:tc>
          <w:tcPr>
            <w:tcW w:w="2717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E60" w:rsidRDefault="00622E61">
            <w:pPr>
              <w:spacing w:line="240" w:lineRule="auto"/>
              <w:ind w:firstLine="6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0,00004</w:t>
            </w:r>
          </w:p>
        </w:tc>
      </w:tr>
    </w:tbl>
    <w:p w:rsidR="005F2E60" w:rsidRDefault="00622E61">
      <w:pPr>
        <w:spacing w:after="0" w:line="240" w:lineRule="auto"/>
        <w:ind w:firstLine="680"/>
        <w:jc w:val="both"/>
      </w:pPr>
      <w:r>
        <w:lastRenderedPageBreak/>
        <w:t>Состав воздуха может меняться в небольших пределах: в крупных городах содержание углекислого газа немного выше, чем в лесах; в высокогорье и на больших высотах концентрация кислорода немного ниже вследствие того, что молекулы кислорода тяжелее молекул азота, и поэтому концентрация кислорода с высотой уменьшается быстрее.</w:t>
      </w:r>
    </w:p>
    <w:p w:rsidR="005F2E60" w:rsidRDefault="00622E61">
      <w:pPr>
        <w:spacing w:after="0" w:line="240" w:lineRule="auto"/>
        <w:ind w:firstLine="680"/>
        <w:jc w:val="both"/>
      </w:pPr>
      <w:r>
        <w:t>Существенное влияние на концентрацию газов в воздухе вносит водяной пар, концентрация которого зависит от температуры, влажности, времени года, климата. Так, при температуре 0 °C 1 м³ воздуха может содержать максимально 5 г воды, а при температуре +10 °C — уже 10 г.</w:t>
      </w:r>
    </w:p>
    <w:p w:rsidR="005F2E60" w:rsidRDefault="00622E61">
      <w:pPr>
        <w:spacing w:after="0" w:line="240" w:lineRule="auto"/>
        <w:ind w:firstLine="680"/>
        <w:jc w:val="both"/>
      </w:pPr>
      <w:r>
        <w:t xml:space="preserve">Статьей 8 </w:t>
      </w:r>
      <w:r>
        <w:rPr>
          <w:bCs/>
        </w:rPr>
        <w:t xml:space="preserve">Закона Республики Беларусь «Об охране атмосферного воздуха» </w:t>
      </w:r>
      <w:r>
        <w:t>Министерству здравоохранения в области охраны атмосферного воздуха определены следующие задачи:</w:t>
      </w:r>
    </w:p>
    <w:p w:rsidR="005F2E60" w:rsidRDefault="00622E61">
      <w:pPr>
        <w:spacing w:after="0" w:line="240" w:lineRule="auto"/>
        <w:ind w:firstLine="680"/>
        <w:jc w:val="both"/>
      </w:pPr>
      <w:r>
        <w:t xml:space="preserve">осуществлять меры по реализации единой государственной политики; </w:t>
      </w:r>
    </w:p>
    <w:p w:rsidR="005F2E60" w:rsidRDefault="00622E61">
      <w:pPr>
        <w:spacing w:after="0" w:line="240" w:lineRule="auto"/>
        <w:ind w:firstLine="680"/>
        <w:jc w:val="both"/>
      </w:pPr>
      <w:r>
        <w:t xml:space="preserve">принимать участие в разработке государственных программ в области охраны атмосферного воздуха; </w:t>
      </w:r>
    </w:p>
    <w:p w:rsidR="005F2E60" w:rsidRDefault="00622E61">
      <w:pPr>
        <w:spacing w:after="0" w:line="240" w:lineRule="auto"/>
        <w:ind w:firstLine="680"/>
        <w:jc w:val="both"/>
      </w:pPr>
      <w:r>
        <w:t xml:space="preserve">принимать нормативные правовые акты, разрабатывает, утверждать и вводить в действие технические нормативные правовые акты; </w:t>
      </w:r>
    </w:p>
    <w:p w:rsidR="005F2E60" w:rsidRDefault="00622E61">
      <w:pPr>
        <w:spacing w:after="0" w:line="240" w:lineRule="auto"/>
        <w:ind w:firstLine="680"/>
        <w:jc w:val="both"/>
      </w:pPr>
      <w:r>
        <w:t xml:space="preserve">утверждать и вводить в действие по согласованию с Министерством природных ресурсов и охраны окружающей среды 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населения; </w:t>
      </w:r>
    </w:p>
    <w:p w:rsidR="005F2E60" w:rsidRDefault="00622E61">
      <w:pPr>
        <w:spacing w:after="0" w:line="240" w:lineRule="auto"/>
        <w:ind w:firstLine="680"/>
        <w:jc w:val="both"/>
      </w:pPr>
      <w:r>
        <w:t>согласовывать нормативы экологически безопасных концентраций загрязняющих веществ в атмосферном воздухе особо охраняемых природных территорий, отдельных природных комплексов и объектов особо охраняемых природных территорий, а также природных территорий, подлежащих специальной охране, и биосферных резерватов;</w:t>
      </w:r>
    </w:p>
    <w:p w:rsidR="005F2E60" w:rsidRDefault="00622E61">
      <w:pPr>
        <w:spacing w:after="0" w:line="240" w:lineRule="auto"/>
        <w:ind w:firstLine="680"/>
        <w:jc w:val="both"/>
      </w:pPr>
      <w:r>
        <w:t xml:space="preserve">устанавливать классы опасности загрязняющих веществ и порядок отнесения загрязняющих веществ к определенным классам опасности загрязняющих веществ; </w:t>
      </w:r>
    </w:p>
    <w:p w:rsidR="005F2E60" w:rsidRDefault="00622E61">
      <w:pPr>
        <w:spacing w:after="0" w:line="240" w:lineRule="auto"/>
        <w:ind w:firstLine="680"/>
        <w:jc w:val="both"/>
      </w:pPr>
      <w:r>
        <w:t xml:space="preserve">осуществлять государственный санитарный надзор в области охраны атмосферного воздуха. </w:t>
      </w:r>
    </w:p>
    <w:p w:rsidR="005F2E60" w:rsidRDefault="00622E61">
      <w:pPr>
        <w:spacing w:after="0" w:line="240" w:lineRule="auto"/>
        <w:ind w:firstLine="680"/>
        <w:jc w:val="both"/>
      </w:pPr>
      <w:r>
        <w:t>Также Министерство здравоохранения осуществляет и иные полномочия в области охраны атмосферного воздуха в соответствии с настоящим Законом, законодательством о санитарно-эпидемиологическом благополучии населени</w:t>
      </w:r>
      <w:r>
        <w:rPr>
          <w:szCs w:val="30"/>
        </w:rPr>
        <w:t xml:space="preserve">я и иными актами законодательства. </w:t>
      </w:r>
    </w:p>
    <w:p w:rsidR="005F2E60" w:rsidRDefault="00622E61">
      <w:pPr>
        <w:spacing w:after="0" w:line="240" w:lineRule="auto"/>
        <w:ind w:firstLine="680"/>
        <w:jc w:val="both"/>
        <w:rPr>
          <w:szCs w:val="30"/>
        </w:rPr>
      </w:pPr>
      <w:r>
        <w:rPr>
          <w:b/>
          <w:szCs w:val="30"/>
        </w:rPr>
        <w:t>ЦУР №3</w:t>
      </w:r>
      <w:r>
        <w:rPr>
          <w:szCs w:val="30"/>
        </w:rPr>
        <w:t xml:space="preserve"> посвящена обеспечению здорового образа жизни и содействия благополучию для всех в любом возрасте.</w:t>
      </w:r>
    </w:p>
    <w:p w:rsidR="005F2E60" w:rsidRDefault="00622E61">
      <w:pPr>
        <w:spacing w:after="0" w:line="240" w:lineRule="auto"/>
        <w:ind w:firstLine="680"/>
        <w:jc w:val="both"/>
        <w:rPr>
          <w:szCs w:val="30"/>
        </w:rPr>
      </w:pPr>
      <w:r>
        <w:rPr>
          <w:b/>
          <w:szCs w:val="30"/>
        </w:rPr>
        <w:lastRenderedPageBreak/>
        <w:tab/>
        <w:t>Задача в области ЦУР 3.9.:</w:t>
      </w:r>
      <w:r>
        <w:rPr>
          <w:szCs w:val="30"/>
        </w:rPr>
        <w:t xml:space="preserve"> «К 2030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 и почв».</w:t>
      </w:r>
    </w:p>
    <w:p w:rsidR="005F2E60" w:rsidRDefault="00622E61">
      <w:pPr>
        <w:spacing w:after="0" w:line="240" w:lineRule="auto"/>
        <w:ind w:firstLine="680"/>
        <w:jc w:val="both"/>
        <w:rPr>
          <w:szCs w:val="30"/>
        </w:rPr>
      </w:pPr>
      <w:r>
        <w:rPr>
          <w:b/>
          <w:szCs w:val="30"/>
        </w:rPr>
        <w:t xml:space="preserve">Показатель 3.9.1. </w:t>
      </w:r>
      <w:r>
        <w:rPr>
          <w:szCs w:val="30"/>
        </w:rPr>
        <w:t>«Смертность от загрязнения воздуха в жилых помещениях и атмосферного воздуха».</w:t>
      </w:r>
    </w:p>
    <w:p w:rsidR="005F2E60" w:rsidRDefault="00622E61">
      <w:pPr>
        <w:spacing w:after="0" w:line="240" w:lineRule="auto"/>
        <w:ind w:firstLine="680"/>
        <w:jc w:val="both"/>
        <w:rPr>
          <w:b/>
          <w:szCs w:val="30"/>
        </w:rPr>
      </w:pPr>
      <w:r>
        <w:rPr>
          <w:szCs w:val="30"/>
        </w:rPr>
        <w:t xml:space="preserve">Ориентиры ВОЗ и других организаций ООН </w:t>
      </w:r>
    </w:p>
    <w:p w:rsidR="005F2E60" w:rsidRDefault="00622E61">
      <w:pPr>
        <w:spacing w:after="0" w:line="240" w:lineRule="auto"/>
        <w:ind w:firstLine="680"/>
        <w:jc w:val="both"/>
        <w:rPr>
          <w:szCs w:val="30"/>
        </w:rPr>
      </w:pPr>
      <w:r>
        <w:rPr>
          <w:b/>
          <w:szCs w:val="30"/>
        </w:rPr>
        <w:t xml:space="preserve">об угрозах и </w:t>
      </w:r>
      <w:r>
        <w:rPr>
          <w:rFonts w:cs="Times New Roman"/>
          <w:b/>
          <w:szCs w:val="30"/>
        </w:rPr>
        <w:t xml:space="preserve">источникам рисков  популяционному здоровью и данных для </w:t>
      </w:r>
      <w:r>
        <w:rPr>
          <w:b/>
          <w:szCs w:val="30"/>
        </w:rPr>
        <w:t xml:space="preserve">подготовки глобальных докладов по показателю ЦУР </w:t>
      </w:r>
      <w:r>
        <w:rPr>
          <w:rFonts w:cs="Times New Roman"/>
          <w:b/>
          <w:szCs w:val="30"/>
        </w:rPr>
        <w:t>3.9.1.</w:t>
      </w:r>
    </w:p>
    <w:p w:rsidR="005F2E60" w:rsidRDefault="00622E61">
      <w:pPr>
        <w:spacing w:after="0" w:line="240" w:lineRule="auto"/>
        <w:ind w:firstLine="680"/>
        <w:jc w:val="both"/>
        <w:rPr>
          <w:szCs w:val="30"/>
        </w:rPr>
      </w:pPr>
      <w:r>
        <w:rPr>
          <w:b/>
          <w:spacing w:val="-1"/>
          <w:szCs w:val="30"/>
        </w:rPr>
        <w:t>Шестьдесят восьмая сессия Всемирной ассамблеи здравоохранения</w:t>
      </w:r>
      <w:r>
        <w:rPr>
          <w:spacing w:val="-1"/>
          <w:szCs w:val="30"/>
        </w:rPr>
        <w:t xml:space="preserve"> </w:t>
      </w:r>
      <w:r>
        <w:rPr>
          <w:szCs w:val="30"/>
        </w:rPr>
        <w:t>(</w:t>
      </w:r>
      <w:r>
        <w:rPr>
          <w:b/>
          <w:bCs/>
          <w:spacing w:val="-11"/>
          <w:szCs w:val="30"/>
        </w:rPr>
        <w:t xml:space="preserve">WHA68.8), </w:t>
      </w:r>
      <w:r>
        <w:rPr>
          <w:szCs w:val="30"/>
        </w:rPr>
        <w:t>рассмотрев доклад «О здоровье и окружающей среде: решение проблемы во</w:t>
      </w:r>
      <w:r>
        <w:rPr>
          <w:rFonts w:eastAsia="Times New Roman"/>
          <w:color w:val="000000"/>
          <w:spacing w:val="-4"/>
          <w:szCs w:val="30"/>
        </w:rPr>
        <w:t xml:space="preserve">здействия загрязнения воздуха на здоровье» подтвердила приверженность ВОЗ положениям итогового документа Конференции Организации Объединенных Наций по устойчивому развитию (в Рио-де-Жанейро, Бразилия, в июне 2012 г.), именуемой Конференция Рио+20, в котором всего государства - члены Организации Объединенных Наций приняли обязательства по осуществлению стратегий в области устойчивого развития, которые способствуют поддержанию надлежащего качества воздуха и признали, что снижение уровня загрязнения воздуха положительно влияет на здоровье. </w:t>
      </w:r>
    </w:p>
    <w:p w:rsidR="005F2E60" w:rsidRDefault="00622E61">
      <w:pPr>
        <w:spacing w:after="0" w:line="240" w:lineRule="auto"/>
        <w:ind w:firstLine="680"/>
        <w:jc w:val="both"/>
        <w:rPr>
          <w:szCs w:val="30"/>
        </w:rPr>
      </w:pPr>
      <w:r>
        <w:rPr>
          <w:rFonts w:eastAsia="Times New Roman" w:cs="Times New Roman"/>
          <w:color w:val="000000"/>
          <w:spacing w:val="-4"/>
          <w:szCs w:val="30"/>
        </w:rPr>
        <w:t>Отмечено, что загрязнение воздуха внутри и вне помещений является причиной 4,3 миллиона случаев смерти в год в результате загрязнения воздуха в бытовых условиях (в помещениях) и 3,7 миллиона случаев смерти в год приходится на долю загрязнения окружающего воздуха (вне помещений). Это приводит к высоким издержкам для общества,  является основной предотвращаемой причиной заболеваемости и смертности в мире и важнейшим отдельно взятым экологическим фактором риска для здоровья в мире.</w:t>
      </w: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>
        <w:rPr>
          <w:rFonts w:eastAsia="Times New Roman" w:cs="Times New Roman"/>
          <w:color w:val="000000"/>
          <w:spacing w:val="-4"/>
          <w:szCs w:val="30"/>
        </w:rPr>
        <w:t xml:space="preserve">Выражена озабоченность в связи с тем, что половина случаев смерти от острых инфекций нижних дыхательных путей, включая пневмонию, среди детей в возрасте до пяти лет может быть отнесена на счет бытового загрязнения воздуха, что является одним из основных факторов риска детской смертности. </w:t>
      </w:r>
    </w:p>
    <w:p w:rsidR="005F2E60" w:rsidRDefault="005F2E6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</w:p>
    <w:p w:rsidR="005F2E60" w:rsidRDefault="00622E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pacing w:val="-4"/>
          <w:szCs w:val="30"/>
        </w:rPr>
      </w:pPr>
      <w:r>
        <w:rPr>
          <w:rFonts w:eastAsia="Times New Roman" w:cs="Times New Roman"/>
          <w:b/>
          <w:color w:val="000000"/>
          <w:spacing w:val="-4"/>
          <w:szCs w:val="30"/>
        </w:rPr>
        <w:t xml:space="preserve">СТАРТОВЫЕ ПОЗИЦИИ МИНСКОЙ ОБЛАСТИ </w:t>
      </w: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>
        <w:rPr>
          <w:rFonts w:eastAsia="Times New Roman" w:cs="Times New Roman"/>
          <w:b/>
          <w:color w:val="000000"/>
          <w:spacing w:val="-4"/>
          <w:szCs w:val="30"/>
        </w:rPr>
        <w:t>ПО ПОКАЗАТЕЛЮ  3.9.1.</w:t>
      </w:r>
    </w:p>
    <w:p w:rsidR="005F2E60" w:rsidRDefault="005F2E6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>
        <w:rPr>
          <w:rFonts w:eastAsia="Times New Roman" w:cs="Times New Roman"/>
          <w:color w:val="000000"/>
          <w:spacing w:val="-4"/>
          <w:szCs w:val="30"/>
        </w:rPr>
        <w:t xml:space="preserve">Для современных условий социально-экономического развития  Минской области чистый воздух является одним из важных фактором здоровья и благополучия человека. </w:t>
      </w: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>
        <w:rPr>
          <w:rFonts w:eastAsia="Times New Roman" w:cs="Times New Roman"/>
          <w:color w:val="000000"/>
          <w:spacing w:val="-4"/>
          <w:szCs w:val="30"/>
        </w:rPr>
        <w:lastRenderedPageBreak/>
        <w:t xml:space="preserve">Длительное проживание в условиях загрязненного атмосферного воздуха приводит к постоянному воздействию на организм человека низкодозовых концентраций химических веществ, что может в дальнейшем способствовать развитию неинфекционных заболеваний и связанной с этим смертности. </w:t>
      </w: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>
        <w:rPr>
          <w:rFonts w:eastAsia="Times New Roman" w:cs="Times New Roman"/>
          <w:b/>
          <w:color w:val="000000"/>
          <w:spacing w:val="-4"/>
          <w:szCs w:val="30"/>
        </w:rPr>
        <w:t>Загрязнение атмосферного воздуха</w:t>
      </w:r>
      <w:r>
        <w:rPr>
          <w:rFonts w:eastAsia="Times New Roman" w:cs="Times New Roman"/>
          <w:color w:val="000000"/>
          <w:spacing w:val="-4"/>
          <w:szCs w:val="30"/>
        </w:rPr>
        <w:t>, обусловливающее его влияние на здоровье населения Минской области, является одной из актуальных гигиенических проблем.</w:t>
      </w: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>
        <w:rPr>
          <w:rFonts w:eastAsia="Times New Roman" w:cs="Times New Roman"/>
          <w:color w:val="000000"/>
          <w:spacing w:val="-4"/>
          <w:szCs w:val="30"/>
        </w:rPr>
        <w:t>Основные проблемы в области защиты атмосферного воздуха связаны с его загрязнением промышленными предприятиями и передвижными источниками (автотранспортом).</w:t>
      </w: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>
        <w:rPr>
          <w:rFonts w:eastAsia="Times New Roman" w:cs="Times New Roman"/>
          <w:color w:val="000000"/>
          <w:spacing w:val="-4"/>
          <w:szCs w:val="30"/>
        </w:rPr>
        <w:t xml:space="preserve">Особенности географического положения Минской области (в центре страны) служит причиной трансграничного переноса химических веществ. 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 w:rsidRPr="001571C3">
        <w:rPr>
          <w:rFonts w:eastAsia="Times New Roman" w:cs="Times New Roman"/>
          <w:color w:val="000000"/>
          <w:spacing w:val="-4"/>
          <w:szCs w:val="30"/>
        </w:rPr>
        <w:t>С целью гигиенической оценки качества факторов среды обитания Минской области в ходе осуществления государственного сани</w:t>
      </w:r>
      <w:r>
        <w:rPr>
          <w:rFonts w:eastAsia="Times New Roman" w:cs="Times New Roman"/>
          <w:color w:val="000000"/>
          <w:spacing w:val="-4"/>
          <w:szCs w:val="30"/>
        </w:rPr>
        <w:t>тарного надзора в течение 2020</w:t>
      </w:r>
      <w:r w:rsidRPr="001571C3">
        <w:rPr>
          <w:rFonts w:eastAsia="Times New Roman" w:cs="Times New Roman"/>
          <w:color w:val="000000"/>
          <w:spacing w:val="-4"/>
          <w:szCs w:val="30"/>
        </w:rPr>
        <w:t xml:space="preserve"> года проводились исследования атмосферного воздуха в городских и сельских населенных пунктах. 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pacing w:val="-4"/>
          <w:szCs w:val="30"/>
        </w:rPr>
      </w:pPr>
      <w:r w:rsidRPr="001571C3">
        <w:rPr>
          <w:rFonts w:eastAsia="Times New Roman" w:cs="Times New Roman"/>
          <w:bCs/>
          <w:color w:val="000000"/>
          <w:spacing w:val="-4"/>
          <w:szCs w:val="30"/>
        </w:rPr>
        <w:t>Всего в 2020 году было отобрано и исследовано 19417 проб атмосферного воздуха в городах и поселках городского типа, а также 7698 проб в сельских населенных пунктах, что в 2 раза больше чем за 2019 год (в городах и поселках городского типа в 2019 году отобрано 9706 проб, в сельских населенных пунктах – 4809).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 w:rsidRPr="001571C3">
        <w:rPr>
          <w:rFonts w:eastAsia="Times New Roman" w:cs="Times New Roman"/>
          <w:bCs/>
          <w:color w:val="000000"/>
          <w:spacing w:val="-4"/>
          <w:szCs w:val="30"/>
        </w:rPr>
        <w:t>У</w:t>
      </w:r>
      <w:r w:rsidRPr="001571C3">
        <w:rPr>
          <w:rFonts w:eastAsia="Times New Roman" w:cs="Times New Roman"/>
          <w:color w:val="000000"/>
          <w:spacing w:val="-4"/>
          <w:szCs w:val="30"/>
        </w:rPr>
        <w:t>дельный вес проб атмосферного воздуха, не соответствующих гигиеническим нормативам, в 2020 году в городах и поселках городского типа составил 0,05 %, что значительно ниже чем в 2019 году (0,19 %),</w:t>
      </w:r>
      <w:r w:rsidRPr="001571C3">
        <w:rPr>
          <w:rFonts w:eastAsia="Times New Roman" w:cs="Times New Roman"/>
          <w:color w:val="000000"/>
          <w:spacing w:val="-4"/>
          <w:szCs w:val="30"/>
        </w:rPr>
        <w:br/>
        <w:t>в сельских населенных пунктах проб атмосферного воздуха, не соответствующих гигиеническим нормативам в 2020 году выявлено не было. В 2019 году данный показатель составил 0,9 %.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 w:rsidRPr="001571C3">
        <w:rPr>
          <w:rFonts w:eastAsia="Times New Roman" w:cs="Times New Roman"/>
          <w:color w:val="000000"/>
          <w:spacing w:val="-4"/>
          <w:szCs w:val="30"/>
        </w:rPr>
        <w:t>Несоответствие отобранных проб атмосферного воздуха в городах и поселках городского типа в 2020 году выявлено в таких районах как Солигорский и Борисовский, по следующим веществам: формальдегид</w:t>
      </w:r>
      <w:r w:rsidRPr="001571C3">
        <w:rPr>
          <w:rFonts w:eastAsia="Times New Roman" w:cs="Times New Roman"/>
          <w:color w:val="000000"/>
          <w:spacing w:val="-4"/>
          <w:szCs w:val="30"/>
        </w:rPr>
        <w:br/>
      </w:r>
      <w:r w:rsidRPr="001571C3">
        <w:rPr>
          <w:rFonts w:eastAsia="Times New Roman" w:cs="Times New Roman"/>
          <w:i/>
          <w:iCs/>
          <w:color w:val="000000"/>
          <w:spacing w:val="-4"/>
          <w:szCs w:val="30"/>
        </w:rPr>
        <w:t>(г. Борисов 2 пробы)</w:t>
      </w:r>
      <w:r w:rsidRPr="001571C3">
        <w:rPr>
          <w:rFonts w:eastAsia="Times New Roman" w:cs="Times New Roman"/>
          <w:color w:val="000000"/>
          <w:spacing w:val="-4"/>
          <w:szCs w:val="30"/>
        </w:rPr>
        <w:t xml:space="preserve">, пыль (г. Борисов – 6 проб), аммиак </w:t>
      </w:r>
      <w:r w:rsidRPr="001571C3">
        <w:rPr>
          <w:rFonts w:eastAsia="Times New Roman" w:cs="Times New Roman"/>
          <w:i/>
          <w:iCs/>
          <w:color w:val="000000"/>
          <w:spacing w:val="-4"/>
          <w:szCs w:val="30"/>
        </w:rPr>
        <w:t>(Солигорск – 2 пробы)</w:t>
      </w:r>
      <w:r w:rsidRPr="001571C3">
        <w:rPr>
          <w:rFonts w:eastAsia="Times New Roman" w:cs="Times New Roman"/>
          <w:color w:val="000000"/>
          <w:spacing w:val="-4"/>
          <w:szCs w:val="30"/>
        </w:rPr>
        <w:t>.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pacing w:val="-4"/>
          <w:szCs w:val="30"/>
        </w:rPr>
      </w:pPr>
      <w:r w:rsidRPr="001571C3">
        <w:rPr>
          <w:rFonts w:eastAsia="Times New Roman" w:cs="Times New Roman"/>
          <w:i/>
          <w:color w:val="000000"/>
          <w:spacing w:val="-4"/>
          <w:szCs w:val="30"/>
        </w:rPr>
        <w:t>В 2019 году несоответствие гигиеническим нормативам проб атмосферного воздуха было выявлено в таких городах как Жодино и Борисов по веществам: формальдегид и окислы азота.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 w:rsidRPr="001571C3">
        <w:rPr>
          <w:rFonts w:eastAsia="Times New Roman" w:cs="Times New Roman"/>
          <w:color w:val="000000"/>
          <w:spacing w:val="-4"/>
          <w:szCs w:val="30"/>
        </w:rPr>
        <w:t xml:space="preserve">В 2020 году особое внимае учреждений государственного санитарного надзора Минской области было уделено контролю за качеством атмосферного воздуха территорий населенных пунктов и зон отдыха, расположенных в зоне воздействия промышленных предприятий (обеспечен </w:t>
      </w:r>
      <w:r w:rsidRPr="001571C3">
        <w:rPr>
          <w:rFonts w:eastAsia="Times New Roman" w:cs="Times New Roman"/>
          <w:color w:val="000000"/>
          <w:spacing w:val="-4"/>
          <w:szCs w:val="30"/>
        </w:rPr>
        <w:lastRenderedPageBreak/>
        <w:t>контроль качества атмосферного воздуха в том числе на границах СЗЗ объектов), и автомобильных дорог республиканского и местного значения.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 w:rsidRPr="001571C3">
        <w:rPr>
          <w:rFonts w:eastAsia="Times New Roman" w:cs="Times New Roman"/>
          <w:color w:val="000000"/>
          <w:spacing w:val="-4"/>
          <w:szCs w:val="30"/>
        </w:rPr>
        <w:t>Всего за 2020 год учреждениями государственного санитарного надзора отобрано и исследовано 1543 пробы атмосферного воздуха на территориях, расположенных в зоне влияния промышленных предприятий и сельскохозяйственных объектов, а также 980 проб атмосферного воздуха на территориях, расположенных в зоне влияния автомобильных дорог.</w:t>
      </w:r>
    </w:p>
    <w:p w:rsidR="001571C3" w:rsidRPr="001571C3" w:rsidRDefault="001571C3" w:rsidP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 w:rsidRPr="001571C3">
        <w:rPr>
          <w:rFonts w:eastAsia="Times New Roman" w:cs="Times New Roman"/>
          <w:color w:val="000000"/>
          <w:spacing w:val="-4"/>
          <w:szCs w:val="30"/>
        </w:rPr>
        <w:t>Несоответствия гигиеническим нормативам в отобранных пробах выявлено не было.</w:t>
      </w:r>
    </w:p>
    <w:p w:rsidR="001571C3" w:rsidRDefault="001571C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30"/>
        </w:rPr>
      </w:pPr>
      <w:r w:rsidRPr="001571C3">
        <w:rPr>
          <w:rFonts w:eastAsia="Times New Roman" w:cs="Times New Roman"/>
          <w:color w:val="000000"/>
          <w:spacing w:val="-4"/>
          <w:szCs w:val="30"/>
        </w:rPr>
        <w:t>Для Минской области за последние 7 лет в целом наметилась тенденция на снижение валового выброса загрязняющих веществ в атмосферный воздух</w:t>
      </w:r>
      <w:r>
        <w:rPr>
          <w:rFonts w:eastAsia="Times New Roman" w:cs="Times New Roman"/>
          <w:color w:val="000000"/>
          <w:spacing w:val="-4"/>
          <w:szCs w:val="30"/>
        </w:rPr>
        <w:t xml:space="preserve"> с 253,5 тыс. тонн в 2013 году до 238, 7 тыс. тонн в 2019 году.</w:t>
      </w:r>
      <w:r w:rsidRPr="001571C3">
        <w:rPr>
          <w:rFonts w:eastAsia="SimSun" w:cs="Times New Roman"/>
          <w:spacing w:val="-4"/>
          <w:sz w:val="28"/>
          <w:szCs w:val="28"/>
          <w:lang w:eastAsia="zh-CN"/>
        </w:rPr>
        <w:t xml:space="preserve"> </w:t>
      </w:r>
      <w:r w:rsidRPr="001571C3">
        <w:rPr>
          <w:rFonts w:eastAsia="Times New Roman" w:cs="Times New Roman"/>
          <w:color w:val="000000"/>
          <w:spacing w:val="-4"/>
          <w:szCs w:val="30"/>
        </w:rPr>
        <w:t>Причем данное снижение обусловлено преимущественно за счет снижения выбросов загря</w:t>
      </w:r>
      <w:r>
        <w:rPr>
          <w:rFonts w:eastAsia="Times New Roman" w:cs="Times New Roman"/>
          <w:color w:val="000000"/>
          <w:spacing w:val="-4"/>
          <w:szCs w:val="30"/>
        </w:rPr>
        <w:t>зняющих от мобильных источников</w:t>
      </w:r>
      <w:r>
        <w:rPr>
          <w:rFonts w:eastAsia="Times New Roman" w:cs="Times New Roman"/>
          <w:color w:val="000000"/>
          <w:spacing w:val="-4"/>
          <w:szCs w:val="30"/>
        </w:rPr>
        <w:br/>
      </w:r>
      <w:r w:rsidRPr="001571C3">
        <w:rPr>
          <w:rFonts w:eastAsia="Times New Roman" w:cs="Times New Roman"/>
          <w:color w:val="000000"/>
          <w:spacing w:val="-4"/>
          <w:szCs w:val="30"/>
        </w:rPr>
        <w:t>с 182,5 тыс.тонн в 2013 году до 174,4 тыс.тонн в 2019 году</w:t>
      </w:r>
      <w:r>
        <w:rPr>
          <w:rFonts w:eastAsia="Times New Roman" w:cs="Times New Roman"/>
          <w:color w:val="000000"/>
          <w:spacing w:val="-4"/>
          <w:szCs w:val="30"/>
        </w:rPr>
        <w:t>.</w:t>
      </w:r>
      <w:r>
        <w:rPr>
          <w:rFonts w:eastAsia="Times New Roman" w:cs="Times New Roman"/>
          <w:color w:val="000000"/>
          <w:spacing w:val="-4"/>
          <w:szCs w:val="30"/>
        </w:rPr>
        <w:br/>
      </w:r>
      <w:r w:rsidRPr="001571C3">
        <w:rPr>
          <w:rFonts w:eastAsia="Times New Roman" w:cs="Times New Roman"/>
          <w:color w:val="000000"/>
          <w:spacing w:val="-4"/>
          <w:szCs w:val="30"/>
        </w:rPr>
        <w:t>Для стационарных источников выбросов загрязняющих веществ, также наметилась общая тенденция</w:t>
      </w:r>
      <w:r>
        <w:rPr>
          <w:rFonts w:eastAsia="Times New Roman" w:cs="Times New Roman"/>
          <w:color w:val="000000"/>
          <w:spacing w:val="-4"/>
          <w:szCs w:val="30"/>
        </w:rPr>
        <w:t xml:space="preserve"> к снижению </w:t>
      </w:r>
      <w:r w:rsidRPr="001571C3">
        <w:rPr>
          <w:rFonts w:eastAsia="Times New Roman" w:cs="Times New Roman"/>
          <w:color w:val="000000"/>
          <w:spacing w:val="-4"/>
          <w:szCs w:val="30"/>
        </w:rPr>
        <w:t>количества выбросов, так в сравнении с 2015 годом количество выбросов снизилось с 75,9 тыс.тонн до 64,3 тыс. тонн в 2019 году</w:t>
      </w:r>
    </w:p>
    <w:p w:rsidR="005F2E60" w:rsidRDefault="007A006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30"/>
        </w:rPr>
      </w:pPr>
      <w:bookmarkStart w:id="0" w:name="_GoBack"/>
      <w:bookmarkEnd w:id="0"/>
      <w:r>
        <w:rPr>
          <w:rFonts w:eastAsia="Times New Roman" w:cs="Times New Roman"/>
          <w:color w:val="000000"/>
          <w:spacing w:val="-4"/>
          <w:szCs w:val="30"/>
        </w:rPr>
        <w:t>С</w:t>
      </w:r>
      <w:r w:rsidR="00622E61">
        <w:rPr>
          <w:rFonts w:eastAsia="Times New Roman" w:cs="Times New Roman"/>
          <w:color w:val="000000"/>
          <w:spacing w:val="-4"/>
          <w:szCs w:val="30"/>
        </w:rPr>
        <w:t xml:space="preserve"> учетом результатов лабораторных исследований в предыдущие годы и в целях выявления возможных источников, влияющих на уровни загрязнения атмосферного воздух</w:t>
      </w:r>
      <w:r>
        <w:rPr>
          <w:rFonts w:eastAsia="Times New Roman" w:cs="Times New Roman"/>
          <w:color w:val="000000"/>
          <w:spacing w:val="-4"/>
          <w:szCs w:val="30"/>
        </w:rPr>
        <w:t>а на селитебной территории в 2020</w:t>
      </w:r>
      <w:r w:rsidR="00622E61">
        <w:rPr>
          <w:rFonts w:eastAsia="Times New Roman" w:cs="Times New Roman"/>
          <w:color w:val="000000"/>
          <w:spacing w:val="-4"/>
          <w:szCs w:val="30"/>
        </w:rPr>
        <w:t xml:space="preserve"> году пересмотрены мониторинговые точки исследования атмосферного воздуха и их количество.</w:t>
      </w:r>
    </w:p>
    <w:p w:rsidR="005F2E60" w:rsidRDefault="00622E61">
      <w:pPr>
        <w:spacing w:after="0" w:line="240" w:lineRule="auto"/>
        <w:ind w:firstLine="709"/>
        <w:jc w:val="both"/>
        <w:rPr>
          <w:szCs w:val="30"/>
        </w:rPr>
      </w:pPr>
      <w:r>
        <w:rPr>
          <w:rFonts w:cs="Times New Roman"/>
          <w:szCs w:val="30"/>
        </w:rPr>
        <w:t>Показатель заболеваемость органов дыхания является одним из индикаторов качества среды обитания населения, особенно качества атмосферного воздуха. Среднеобластной показатель распространенности заболеваемости органов дыхания среди детей в возрасте от 0 до 17 лет составил в 2019 году 1198 сл. на 1000 детского населения (в 2018 г. - 1253,3 сл. на 1000 детского населения).</w:t>
      </w:r>
    </w:p>
    <w:p w:rsidR="005F2E60" w:rsidRDefault="00622E61">
      <w:pPr>
        <w:spacing w:after="0" w:line="240" w:lineRule="auto"/>
        <w:ind w:firstLine="709"/>
        <w:jc w:val="both"/>
        <w:rPr>
          <w:szCs w:val="30"/>
        </w:rPr>
      </w:pPr>
      <w:r>
        <w:rPr>
          <w:rFonts w:cs="Times New Roman"/>
          <w:szCs w:val="30"/>
        </w:rPr>
        <w:t xml:space="preserve"> Показатель распространенности заболеваемости органов дыхания детей выше среднеобластного уровня регистрировался в 14 районах Минской области. Наибольшие уровни отмечены в Крупском (</w:t>
      </w:r>
      <w:r>
        <w:rPr>
          <w:rFonts w:cs="Times New Roman"/>
          <w:color w:val="000000"/>
          <w:szCs w:val="30"/>
        </w:rPr>
        <w:t>1735,9</w:t>
      </w:r>
      <w:r>
        <w:rPr>
          <w:rFonts w:cs="Times New Roman"/>
          <w:szCs w:val="30"/>
        </w:rPr>
        <w:t xml:space="preserve"> сл. на 1000 детского населения), Узденском (</w:t>
      </w:r>
      <w:r>
        <w:rPr>
          <w:rFonts w:cs="Times New Roman"/>
          <w:color w:val="000000"/>
          <w:szCs w:val="30"/>
        </w:rPr>
        <w:t>1713,9</w:t>
      </w:r>
      <w:r>
        <w:rPr>
          <w:rFonts w:cs="Times New Roman"/>
          <w:szCs w:val="30"/>
        </w:rPr>
        <w:t xml:space="preserve"> сл. на 1000 детского населения) и Червенском районах (</w:t>
      </w:r>
      <w:r>
        <w:rPr>
          <w:rFonts w:cs="Times New Roman"/>
          <w:color w:val="000000"/>
          <w:szCs w:val="30"/>
        </w:rPr>
        <w:t>1615,9</w:t>
      </w:r>
      <w:r>
        <w:rPr>
          <w:rFonts w:cs="Times New Roman"/>
          <w:szCs w:val="30"/>
        </w:rPr>
        <w:t xml:space="preserve"> сл. на 1000 детского населения). </w:t>
      </w:r>
    </w:p>
    <w:p w:rsidR="005F2E60" w:rsidRDefault="00622E61">
      <w:pPr>
        <w:spacing w:after="0" w:line="240" w:lineRule="auto"/>
        <w:ind w:firstLine="709"/>
        <w:jc w:val="both"/>
        <w:rPr>
          <w:szCs w:val="30"/>
        </w:rPr>
      </w:pPr>
      <w:r>
        <w:rPr>
          <w:rFonts w:cs="Times New Roman"/>
          <w:szCs w:val="30"/>
        </w:rPr>
        <w:t xml:space="preserve">Для взрослого населения среднеобластной показатель распространенности заболеваемости органов дыхания составил в 2018 году 223,4 сл. на 1000 населения (в 2018 г. – 233,4 на 1000 населения). Показатель распространенности заболеваемости органов дыхания взрослого населения выше среднеобластного уровня регистрировался в 13 </w:t>
      </w:r>
      <w:r>
        <w:rPr>
          <w:rFonts w:cs="Times New Roman"/>
          <w:szCs w:val="30"/>
        </w:rPr>
        <w:lastRenderedPageBreak/>
        <w:t>районах Минской области. Наибольшие уровни отмечены в Червенском и Узденском районах (</w:t>
      </w:r>
      <w:r>
        <w:rPr>
          <w:rFonts w:cs="Times New Roman"/>
          <w:color w:val="000000"/>
          <w:szCs w:val="30"/>
        </w:rPr>
        <w:t>283,7</w:t>
      </w:r>
      <w:r>
        <w:rPr>
          <w:rFonts w:cs="Times New Roman"/>
          <w:szCs w:val="30"/>
        </w:rPr>
        <w:t xml:space="preserve"> и </w:t>
      </w:r>
      <w:r>
        <w:rPr>
          <w:rFonts w:cs="Times New Roman"/>
          <w:color w:val="000000"/>
          <w:szCs w:val="30"/>
        </w:rPr>
        <w:t>317,5</w:t>
      </w:r>
      <w:r>
        <w:rPr>
          <w:rFonts w:cs="Times New Roman"/>
          <w:szCs w:val="30"/>
        </w:rPr>
        <w:t xml:space="preserve"> на 1000 населения соответственно). </w:t>
      </w:r>
    </w:p>
    <w:p w:rsidR="005F2E60" w:rsidRDefault="00622E61">
      <w:pPr>
        <w:spacing w:after="0" w:line="240" w:lineRule="auto"/>
        <w:ind w:firstLine="709"/>
        <w:jc w:val="both"/>
        <w:rPr>
          <w:szCs w:val="30"/>
        </w:rPr>
      </w:pPr>
      <w:r>
        <w:rPr>
          <w:rFonts w:cs="Times New Roman"/>
          <w:spacing w:val="-2"/>
          <w:szCs w:val="30"/>
        </w:rPr>
        <w:t xml:space="preserve">Заболеваемость астмой по данным ВОЗ является одним из индикаторов качества среды обитания населения, особенно детского. Среднеобластной показатель распространенности заболеваемости астмой и астматическим статусом среди детей в возрасте от 0 до 17 лет составил в 2019 году 10,9 сл. на 1000 детского населения (в 2018 г. – 11,0 сл. на 1000 детского населения). Показатель распространенности заболеваемости астмой и астматическим статусом детей выше среднеобластного уровня регистрировался в 11 районах Минской области. Наибольшие уровни отмечены в </w:t>
      </w:r>
      <w:r>
        <w:rPr>
          <w:rFonts w:cs="Times New Roman"/>
          <w:color w:val="000000"/>
          <w:spacing w:val="-2"/>
          <w:szCs w:val="30"/>
        </w:rPr>
        <w:t>Пухович</w:t>
      </w:r>
      <w:r>
        <w:rPr>
          <w:rFonts w:cs="Times New Roman"/>
          <w:spacing w:val="-2"/>
          <w:szCs w:val="30"/>
        </w:rPr>
        <w:t>ском (1</w:t>
      </w:r>
      <w:r>
        <w:rPr>
          <w:rFonts w:cs="Times New Roman"/>
          <w:color w:val="000000"/>
          <w:spacing w:val="-2"/>
          <w:szCs w:val="30"/>
        </w:rPr>
        <w:t>5,3</w:t>
      </w:r>
      <w:r>
        <w:rPr>
          <w:rFonts w:cs="Times New Roman"/>
          <w:spacing w:val="-2"/>
          <w:szCs w:val="30"/>
        </w:rPr>
        <w:t xml:space="preserve"> сл. на 1000 детского населения), Узденском (16,7 сл. на 1000 детского населения) районах. </w:t>
      </w:r>
    </w:p>
    <w:p w:rsidR="005F2E60" w:rsidRDefault="00622E61">
      <w:pPr>
        <w:spacing w:after="0" w:line="240" w:lineRule="auto"/>
        <w:ind w:firstLine="709"/>
        <w:jc w:val="both"/>
        <w:rPr>
          <w:szCs w:val="30"/>
        </w:rPr>
      </w:pPr>
      <w:r>
        <w:rPr>
          <w:rFonts w:cs="Times New Roman"/>
          <w:szCs w:val="30"/>
        </w:rPr>
        <w:t xml:space="preserve">Для взрослого населения среднеобластной показатель распространенности заболеваемости астмой и астматическим статусом составил в 2019 году </w:t>
      </w:r>
      <w:r>
        <w:rPr>
          <w:rFonts w:cs="Times New Roman"/>
          <w:color w:val="000000"/>
          <w:szCs w:val="30"/>
        </w:rPr>
        <w:t>9,0</w:t>
      </w:r>
      <w:r>
        <w:rPr>
          <w:rFonts w:cs="Times New Roman"/>
          <w:szCs w:val="30"/>
        </w:rPr>
        <w:t xml:space="preserve"> сл. на 1000 населения (в 2018 г. – 8,7 на 1000 населения). Показатель распространенности заболеваемости астмой и астматическим статусом взрослого населения выше среднеобластного уровня регистрировался в </w:t>
      </w:r>
      <w:r>
        <w:rPr>
          <w:rFonts w:cs="Times New Roman"/>
          <w:color w:val="000000"/>
          <w:szCs w:val="30"/>
        </w:rPr>
        <w:t>11</w:t>
      </w:r>
      <w:r>
        <w:rPr>
          <w:rFonts w:cs="Times New Roman"/>
          <w:szCs w:val="30"/>
        </w:rPr>
        <w:t xml:space="preserve"> районах Минской области. Наибольшие уровни отмечены в Березинском и Узденском районах (13,1 и 13,9 на 1000 населения). </w:t>
      </w:r>
    </w:p>
    <w:p w:rsidR="005F2E60" w:rsidRDefault="00622E6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Для всех районном с уровнем заболеваемости выше областного характерно прохождение крупных автомобильных магистралей с интенсивным движением, часть районном расположены в близости от г.Минска и проживающее население работает в столице, что обуславливает интенсивное сообщение с городом как на общественном, так и на личном транспорте.</w:t>
      </w:r>
    </w:p>
    <w:p w:rsidR="005F2E60" w:rsidRDefault="005F2E60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szCs w:val="30"/>
        </w:rPr>
      </w:pPr>
    </w:p>
    <w:p w:rsidR="005F2E60" w:rsidRDefault="00622E61">
      <w:pPr>
        <w:pStyle w:val="af"/>
        <w:tabs>
          <w:tab w:val="left" w:pos="284"/>
          <w:tab w:val="left" w:pos="426"/>
          <w:tab w:val="left" w:pos="2127"/>
        </w:tabs>
        <w:ind w:left="2110" w:right="-1"/>
      </w:pPr>
      <w:r>
        <w:rPr>
          <w:b/>
          <w:szCs w:val="30"/>
          <w:lang w:val="en-US"/>
        </w:rPr>
        <w:t>II</w:t>
      </w:r>
      <w:r>
        <w:rPr>
          <w:b/>
          <w:szCs w:val="30"/>
        </w:rPr>
        <w:t>. МОНИТОРИНГ ПРОГРЕССА ДОСТИЖЕНИЯ</w:t>
      </w:r>
    </w:p>
    <w:p w:rsidR="005F2E60" w:rsidRDefault="00622E61">
      <w:pPr>
        <w:ind w:firstLine="567"/>
        <w:jc w:val="center"/>
        <w:rPr>
          <w:rFonts w:cs="Times New Roman"/>
          <w:b/>
          <w:szCs w:val="30"/>
        </w:rPr>
      </w:pPr>
      <w:r>
        <w:rPr>
          <w:b/>
          <w:szCs w:val="30"/>
        </w:rPr>
        <w:t xml:space="preserve">ПОКАЗАТЕЛЯ </w:t>
      </w:r>
      <w:r>
        <w:rPr>
          <w:rFonts w:cs="Times New Roman"/>
          <w:b/>
          <w:szCs w:val="30"/>
        </w:rPr>
        <w:t>3.9.1.</w:t>
      </w:r>
    </w:p>
    <w:p w:rsidR="005F2E60" w:rsidRDefault="00622E61">
      <w:pPr>
        <w:spacing w:after="0"/>
        <w:ind w:firstLine="709"/>
        <w:jc w:val="both"/>
        <w:rPr>
          <w:bCs/>
          <w:szCs w:val="30"/>
          <w:highlight w:val="white"/>
        </w:rPr>
      </w:pPr>
      <w:r>
        <w:rPr>
          <w:color w:val="000000"/>
          <w:szCs w:val="30"/>
        </w:rPr>
        <w:t xml:space="preserve">Формирование информационно-аналитической базы по оценке Цели устойчивого развития №3 осуществляет Министерство здравоохранения Республики Беларусь (далее – Минздрав) </w:t>
      </w:r>
      <w:r>
        <w:rPr>
          <w:szCs w:val="30"/>
          <w:shd w:val="clear" w:color="auto" w:fill="FFFFFF"/>
        </w:rPr>
        <w:t>в рамках Указа Президента Республики Беларусь А.Г. Лукашенко</w:t>
      </w:r>
      <w:r w:rsidR="00D77F46">
        <w:rPr>
          <w:szCs w:val="30"/>
          <w:shd w:val="clear" w:color="auto" w:fill="FFFFFF"/>
        </w:rPr>
        <w:t xml:space="preserve"> </w:t>
      </w:r>
      <w:r>
        <w:rPr>
          <w:bCs/>
          <w:szCs w:val="30"/>
          <w:shd w:val="clear" w:color="auto" w:fill="FFFFFF"/>
        </w:rPr>
        <w:t>от 25.05.2017 №181</w:t>
      </w:r>
      <w:r>
        <w:rPr>
          <w:bCs/>
          <w:szCs w:val="30"/>
          <w:shd w:val="clear" w:color="auto" w:fill="FFFFFF"/>
        </w:rPr>
        <w:br/>
        <w:t>«О Национальном координаторе по достижению Целей устойчивого развития».</w:t>
      </w:r>
    </w:p>
    <w:p w:rsidR="005F2E60" w:rsidRDefault="00622E61">
      <w:pPr>
        <w:spacing w:after="0"/>
        <w:ind w:firstLine="709"/>
        <w:jc w:val="both"/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Формирование информационно-аналитической базы по оценке показателя ЦУР 3.9.1  в рамках национальной платформы показателей и индикаторов Целей устойчивого развития возложено на Минздрав.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Система сбора информации по реализации показателя 3.9.1. в рамках деятельности органов и учреждений, осуществляющих государственный </w:t>
      </w:r>
      <w:r>
        <w:rPr>
          <w:szCs w:val="30"/>
        </w:rPr>
        <w:lastRenderedPageBreak/>
        <w:t>санитарный надзор,  будет производиться через запрос административных в территориальные органы и учреждения здравоохранения  в соответствии с приказом Министерства здравоохранения Республики Беларусь № 1177 от 15.11.2018г. «О показателях и индикаторах Цели устойчивого развития».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szCs w:val="30"/>
        </w:rPr>
        <w:t>Прогресс достижения показателя ЦУР 3.9.1</w:t>
      </w:r>
      <w:r>
        <w:rPr>
          <w:rFonts w:cs="Times New Roman"/>
          <w:color w:val="000000"/>
          <w:szCs w:val="30"/>
        </w:rPr>
        <w:t xml:space="preserve">. </w:t>
      </w:r>
      <w:r>
        <w:rPr>
          <w:szCs w:val="30"/>
        </w:rPr>
        <w:t>осуществляется в порядке, изложенном в приложении 2 приказом Министерства здравоохранения Республики Беларусь от 15.11.2018 №1178 «О системе работы органов и учреждений, осуществляющих государственный санитарный надзор по реализации показателей Целей устойчивого развития».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rFonts w:cs="Times New Roman"/>
          <w:color w:val="000000"/>
          <w:szCs w:val="30"/>
        </w:rPr>
        <w:t xml:space="preserve">В основу порядка разрабатываемой методики расчета  национального </w:t>
      </w:r>
      <w:r>
        <w:rPr>
          <w:szCs w:val="30"/>
        </w:rPr>
        <w:t xml:space="preserve">показателя ЦУР 3.9.1 </w:t>
      </w:r>
      <w:r>
        <w:rPr>
          <w:rFonts w:cs="Times New Roman"/>
          <w:szCs w:val="30"/>
        </w:rPr>
        <w:t xml:space="preserve">заложен индикатор </w:t>
      </w:r>
      <w:r>
        <w:rPr>
          <w:rFonts w:cs="Times New Roman"/>
          <w:color w:val="000000"/>
          <w:szCs w:val="30"/>
        </w:rPr>
        <w:t>(единица измерения)</w:t>
      </w:r>
      <w:r>
        <w:rPr>
          <w:rFonts w:cs="Times New Roman"/>
          <w:szCs w:val="30"/>
        </w:rPr>
        <w:t xml:space="preserve">, определенный на глобальном уровне  как оценка  </w:t>
      </w:r>
      <w:r>
        <w:rPr>
          <w:rFonts w:cs="Times New Roman"/>
          <w:b/>
          <w:szCs w:val="30"/>
        </w:rPr>
        <w:t>«смертности от загрязнения воздуха в жилых помещениях и атмосферного воздуха (на 100 000) населения».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rFonts w:cs="Times New Roman"/>
          <w:szCs w:val="30"/>
        </w:rPr>
        <w:t xml:space="preserve">Согласно </w:t>
      </w:r>
      <w:r>
        <w:rPr>
          <w:rFonts w:cs="Times New Roman"/>
          <w:b/>
          <w:szCs w:val="30"/>
        </w:rPr>
        <w:t>«Мировой статистики здравоохранения, 2017 года: мониторинг показателей здоровья в отношении Целей устойчивого развития»</w:t>
      </w:r>
      <w:r>
        <w:rPr>
          <w:rFonts w:cs="Times New Roman"/>
          <w:szCs w:val="30"/>
        </w:rPr>
        <w:t xml:space="preserve">  </w:t>
      </w:r>
      <w:r>
        <w:rPr>
          <w:rFonts w:cs="Times New Roman"/>
          <w:b/>
          <w:i/>
          <w:szCs w:val="30"/>
        </w:rPr>
        <w:t>(</w:t>
      </w:r>
      <w:r>
        <w:rPr>
          <w:rFonts w:cs="Times New Roman"/>
          <w:b/>
          <w:i/>
          <w:szCs w:val="30"/>
          <w:lang w:val="en-US"/>
        </w:rPr>
        <w:t>World</w:t>
      </w:r>
      <w:r>
        <w:rPr>
          <w:rFonts w:cs="Times New Roman"/>
          <w:b/>
          <w:i/>
          <w:szCs w:val="30"/>
        </w:rPr>
        <w:t xml:space="preserve"> </w:t>
      </w:r>
      <w:r>
        <w:rPr>
          <w:rFonts w:cs="Times New Roman"/>
          <w:b/>
          <w:i/>
          <w:szCs w:val="30"/>
          <w:lang w:val="en-US"/>
        </w:rPr>
        <w:t>health</w:t>
      </w:r>
      <w:r>
        <w:rPr>
          <w:rFonts w:cs="Times New Roman"/>
          <w:b/>
          <w:i/>
          <w:szCs w:val="30"/>
        </w:rPr>
        <w:t xml:space="preserve"> </w:t>
      </w:r>
      <w:r>
        <w:rPr>
          <w:rFonts w:cs="Times New Roman"/>
          <w:b/>
          <w:i/>
          <w:szCs w:val="30"/>
          <w:lang w:val="en-US"/>
        </w:rPr>
        <w:t>statistics</w:t>
      </w:r>
      <w:r>
        <w:rPr>
          <w:rFonts w:cs="Times New Roman"/>
          <w:b/>
          <w:i/>
          <w:szCs w:val="30"/>
        </w:rPr>
        <w:t xml:space="preserve"> 2017 </w:t>
      </w:r>
      <w:r>
        <w:rPr>
          <w:rFonts w:cs="Times New Roman"/>
          <w:b/>
          <w:i/>
          <w:szCs w:val="30"/>
          <w:lang w:val="en-US"/>
        </w:rPr>
        <w:t>monitoring</w:t>
      </w:r>
      <w:r>
        <w:rPr>
          <w:rFonts w:cs="Times New Roman"/>
          <w:b/>
          <w:i/>
          <w:szCs w:val="30"/>
        </w:rPr>
        <w:t xml:space="preserve">  </w:t>
      </w:r>
      <w:r>
        <w:rPr>
          <w:rFonts w:cs="Times New Roman"/>
          <w:b/>
          <w:i/>
          <w:szCs w:val="30"/>
          <w:lang w:val="en-US"/>
        </w:rPr>
        <w:t>health</w:t>
      </w:r>
      <w:r>
        <w:rPr>
          <w:rFonts w:cs="Times New Roman"/>
          <w:b/>
          <w:i/>
          <w:szCs w:val="30"/>
        </w:rPr>
        <w:t xml:space="preserve"> </w:t>
      </w:r>
      <w:r>
        <w:rPr>
          <w:rFonts w:cs="Times New Roman"/>
          <w:b/>
          <w:i/>
          <w:szCs w:val="30"/>
          <w:lang w:val="en-US"/>
        </w:rPr>
        <w:t>for</w:t>
      </w:r>
      <w:r>
        <w:rPr>
          <w:rFonts w:cs="Times New Roman"/>
          <w:b/>
          <w:i/>
          <w:szCs w:val="30"/>
        </w:rPr>
        <w:t xml:space="preserve"> </w:t>
      </w:r>
      <w:r>
        <w:rPr>
          <w:rFonts w:cs="Times New Roman"/>
          <w:b/>
          <w:i/>
          <w:szCs w:val="30"/>
          <w:lang w:val="en-US"/>
        </w:rPr>
        <w:t>the</w:t>
      </w:r>
      <w:r>
        <w:rPr>
          <w:rFonts w:cs="Times New Roman"/>
          <w:b/>
          <w:i/>
          <w:szCs w:val="30"/>
        </w:rPr>
        <w:t xml:space="preserve"> </w:t>
      </w:r>
      <w:r>
        <w:rPr>
          <w:rFonts w:cs="Times New Roman"/>
          <w:b/>
          <w:i/>
          <w:szCs w:val="30"/>
          <w:lang w:val="en-US"/>
        </w:rPr>
        <w:t>SDGs</w:t>
      </w:r>
      <w:r>
        <w:rPr>
          <w:rFonts w:cs="Times New Roman"/>
          <w:b/>
          <w:i/>
          <w:szCs w:val="30"/>
        </w:rPr>
        <w:t xml:space="preserve">, </w:t>
      </w:r>
      <w:r>
        <w:rPr>
          <w:rFonts w:cs="Times New Roman"/>
          <w:b/>
          <w:i/>
          <w:szCs w:val="30"/>
          <w:lang w:val="en-US"/>
        </w:rPr>
        <w:t>Sustainable</w:t>
      </w:r>
      <w:r>
        <w:rPr>
          <w:rFonts w:cs="Times New Roman"/>
          <w:b/>
          <w:i/>
          <w:szCs w:val="30"/>
        </w:rPr>
        <w:t xml:space="preserve"> </w:t>
      </w:r>
      <w:r>
        <w:rPr>
          <w:rFonts w:cs="Times New Roman"/>
          <w:b/>
          <w:i/>
          <w:szCs w:val="30"/>
          <w:lang w:val="en-US"/>
        </w:rPr>
        <w:t>Development</w:t>
      </w:r>
      <w:r>
        <w:rPr>
          <w:rFonts w:cs="Times New Roman"/>
          <w:b/>
          <w:i/>
          <w:szCs w:val="30"/>
        </w:rPr>
        <w:t xml:space="preserve"> </w:t>
      </w:r>
      <w:r>
        <w:rPr>
          <w:rFonts w:cs="Times New Roman"/>
          <w:b/>
          <w:i/>
          <w:szCs w:val="30"/>
          <w:lang w:val="en-US"/>
        </w:rPr>
        <w:t>Goals</w:t>
      </w:r>
      <w:r>
        <w:rPr>
          <w:rFonts w:cs="Times New Roman"/>
          <w:b/>
          <w:i/>
          <w:szCs w:val="30"/>
        </w:rPr>
        <w:t>)</w:t>
      </w:r>
      <w:r>
        <w:rPr>
          <w:rFonts w:cs="Times New Roman"/>
          <w:szCs w:val="30"/>
        </w:rPr>
        <w:t xml:space="preserve"> показатель</w:t>
      </w:r>
      <w:r>
        <w:t>:</w:t>
      </w:r>
      <w:r>
        <w:rPr>
          <w:i/>
        </w:rPr>
        <w:t xml:space="preserve"> </w:t>
      </w:r>
      <w:r>
        <w:rPr>
          <w:rFonts w:cs="Times New Roman"/>
          <w:szCs w:val="30"/>
        </w:rPr>
        <w:t xml:space="preserve">смертность от загрязнения воздуха в жилых помещениях и атмосферного воздуха (на 100 000) населения  </w:t>
      </w:r>
      <w:r>
        <w:rPr>
          <w:i/>
        </w:rPr>
        <w:t xml:space="preserve"> </w:t>
      </w:r>
      <w:r>
        <w:t>в Республике Беларусь в 2012 год  составлял 108,8</w:t>
      </w:r>
      <w:r>
        <w:rPr>
          <w:i/>
        </w:rPr>
        <w:t xml:space="preserve">  (для сравнения: Швеция – 0,4; Швейцария – 18,5;  Россия – 98,6;  Польша – 68,9; Таджикистан – 92,0; Китай – 59,5; Мавритания  – 86,2).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rFonts w:cs="Times New Roman"/>
          <w:color w:val="000000"/>
          <w:szCs w:val="30"/>
        </w:rPr>
        <w:t xml:space="preserve">Органами и учреждениями, осуществляющие государственный санитарный надзор, в рамках ответственности за мониторинг показателя ЦУР 3.9.1. </w:t>
      </w:r>
      <w:r>
        <w:rPr>
          <w:rFonts w:cs="Times New Roman"/>
          <w:szCs w:val="30"/>
        </w:rPr>
        <w:t>применяются следующие показатели и индикаторы</w:t>
      </w:r>
      <w:r>
        <w:rPr>
          <w:rFonts w:cs="Times New Roman"/>
          <w:color w:val="000000"/>
          <w:szCs w:val="30"/>
        </w:rPr>
        <w:t>: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rFonts w:cs="Times New Roman"/>
          <w:b/>
          <w:color w:val="000000"/>
          <w:szCs w:val="30"/>
        </w:rPr>
        <w:t>показатель ВОЗ (</w:t>
      </w:r>
      <w:r>
        <w:rPr>
          <w:rFonts w:cs="Times New Roman"/>
          <w:color w:val="000000"/>
          <w:szCs w:val="30"/>
        </w:rPr>
        <w:t>как учреждения-куратора) (</w:t>
      </w:r>
      <w:r>
        <w:rPr>
          <w:rFonts w:cs="Times New Roman"/>
          <w:i/>
          <w:color w:val="000000"/>
          <w:szCs w:val="30"/>
        </w:rPr>
        <w:t xml:space="preserve">интегрированы с показателем ВОЗ 7.1.2 «Доступ к чистым источниками энергии и технологиям в быту»); 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rFonts w:cs="Times New Roman"/>
          <w:b/>
          <w:szCs w:val="30"/>
        </w:rPr>
        <w:t>косвенные</w:t>
      </w:r>
      <w:r>
        <w:rPr>
          <w:rFonts w:cs="Times New Roman"/>
          <w:szCs w:val="30"/>
        </w:rPr>
        <w:t xml:space="preserve"> </w:t>
      </w:r>
      <w:r>
        <w:rPr>
          <w:rFonts w:cs="Times New Roman"/>
          <w:b/>
          <w:color w:val="000000"/>
          <w:szCs w:val="30"/>
        </w:rPr>
        <w:t xml:space="preserve">показатели номенклатуры исследований и оценок, регулируемых техническими (локальными) нормативными правовыми актами Министерства здравоохранения Республики Беларусь (ТНПА)  </w:t>
      </w:r>
      <w:r>
        <w:rPr>
          <w:rFonts w:cs="Times New Roman"/>
          <w:i/>
          <w:color w:val="000000"/>
          <w:szCs w:val="30"/>
        </w:rPr>
        <w:t xml:space="preserve">(интегрированы с косвенными показателями 7.1.2 «Доступ к чистым источниками энергии и технологиям в быту»); </w:t>
      </w:r>
    </w:p>
    <w:p w:rsidR="005F2E60" w:rsidRDefault="00622E61">
      <w:pPr>
        <w:spacing w:after="0"/>
        <w:ind w:firstLine="709"/>
        <w:jc w:val="both"/>
        <w:rPr>
          <w:szCs w:val="30"/>
        </w:rPr>
      </w:pPr>
      <w:r>
        <w:rPr>
          <w:b/>
          <w:szCs w:val="30"/>
        </w:rPr>
        <w:t xml:space="preserve">индикаторы управленческих решений </w:t>
      </w:r>
      <w:r>
        <w:rPr>
          <w:szCs w:val="30"/>
        </w:rPr>
        <w:t xml:space="preserve">(в соответствии с п.4.2. «Системы работы органов и учреждений, осуществляющих государственный санитарный надзор, по реализации показателей Целей </w:t>
      </w:r>
      <w:r>
        <w:rPr>
          <w:szCs w:val="30"/>
        </w:rPr>
        <w:lastRenderedPageBreak/>
        <w:t>устойчивого развития», утвержденной приказом Министерства здравоохранения Республики Беларусь от 15.11.2018 №1178)</w:t>
      </w:r>
      <w:r>
        <w:rPr>
          <w:rFonts w:cs="Times New Roman"/>
          <w:color w:val="000000"/>
          <w:szCs w:val="30"/>
        </w:rPr>
        <w:t xml:space="preserve"> </w:t>
      </w:r>
      <w:r>
        <w:rPr>
          <w:rFonts w:cs="Times New Roman"/>
          <w:i/>
          <w:color w:val="000000"/>
          <w:szCs w:val="30"/>
        </w:rPr>
        <w:t xml:space="preserve">(интегрированы с индикаторами управленческих решений показателя 7.1.2 «Доступ к чистым источниками энергии и технологиям в быту»). </w:t>
      </w:r>
    </w:p>
    <w:p w:rsidR="005F2E60" w:rsidRDefault="00622E61">
      <w:pPr>
        <w:jc w:val="center"/>
        <w:rPr>
          <w:rFonts w:cs="Times New Roman"/>
          <w:b/>
          <w:color w:val="000000"/>
          <w:szCs w:val="30"/>
        </w:rPr>
      </w:pPr>
      <w:r>
        <w:rPr>
          <w:rFonts w:cs="Times New Roman"/>
          <w:b/>
          <w:color w:val="000000"/>
          <w:szCs w:val="30"/>
        </w:rPr>
        <w:t>ЦУР 3.9.1. - Показатель ВОЗ</w:t>
      </w:r>
    </w:p>
    <w:tbl>
      <w:tblPr>
        <w:tblW w:w="9556" w:type="dxa"/>
        <w:tblInd w:w="-109" w:type="dxa"/>
        <w:tblLook w:val="0000" w:firstRow="0" w:lastRow="0" w:firstColumn="0" w:lastColumn="0" w:noHBand="0" w:noVBand="0"/>
      </w:tblPr>
      <w:tblGrid>
        <w:gridCol w:w="9556"/>
      </w:tblGrid>
      <w:tr w:rsidR="005F2E60">
        <w:trPr>
          <w:trHeight w:val="1026"/>
        </w:trPr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cs="Times New Roman"/>
                <w:b/>
                <w:szCs w:val="30"/>
              </w:rPr>
              <w:t>смертность от загрязнения воздуха в жилых помещениях и атмосферного воздуха (на 100 000) населения.</w:t>
            </w:r>
          </w:p>
        </w:tc>
      </w:tr>
    </w:tbl>
    <w:p w:rsidR="005F2E60" w:rsidRDefault="005F2E60">
      <w:pPr>
        <w:jc w:val="center"/>
        <w:rPr>
          <w:rFonts w:cs="Times New Roman"/>
          <w:b/>
          <w:color w:val="000000"/>
          <w:szCs w:val="30"/>
        </w:rPr>
      </w:pPr>
    </w:p>
    <w:p w:rsidR="005F2E60" w:rsidRDefault="00622E61">
      <w:pPr>
        <w:jc w:val="center"/>
        <w:rPr>
          <w:rFonts w:cs="Times New Roman"/>
          <w:b/>
          <w:color w:val="000000"/>
          <w:szCs w:val="30"/>
        </w:rPr>
      </w:pPr>
      <w:r>
        <w:rPr>
          <w:rFonts w:cs="Times New Roman"/>
          <w:b/>
          <w:color w:val="000000"/>
          <w:szCs w:val="30"/>
        </w:rPr>
        <w:t xml:space="preserve">ЦУР 3.9.1. – Косвенные показатели для Минской области </w:t>
      </w:r>
    </w:p>
    <w:tbl>
      <w:tblPr>
        <w:tblW w:w="9855" w:type="dxa"/>
        <w:tblInd w:w="-109" w:type="dxa"/>
        <w:tblLook w:val="0000" w:firstRow="0" w:lastRow="0" w:firstColumn="0" w:lastColumn="0" w:noHBand="0" w:noVBand="0"/>
      </w:tblPr>
      <w:tblGrid>
        <w:gridCol w:w="5642"/>
        <w:gridCol w:w="4213"/>
      </w:tblGrid>
      <w:tr w:rsidR="005F2E60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Показатель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 xml:space="preserve">Обоснование </w:t>
            </w:r>
          </w:p>
        </w:tc>
      </w:tr>
      <w:tr w:rsidR="005F2E60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pStyle w:val="af"/>
              <w:tabs>
                <w:tab w:val="left" w:pos="883"/>
                <w:tab w:val="left" w:pos="9498"/>
              </w:tabs>
              <w:ind w:left="170"/>
              <w:jc w:val="both"/>
            </w:pPr>
            <w:r>
              <w:rPr>
                <w:rFonts w:cs="Times New Roman"/>
                <w:b/>
                <w:sz w:val="22"/>
                <w:szCs w:val="30"/>
              </w:rPr>
              <w:t>Общая смертность населения</w:t>
            </w:r>
            <w:r>
              <w:rPr>
                <w:rFonts w:cs="Times New Roman"/>
                <w:i/>
                <w:sz w:val="22"/>
                <w:szCs w:val="30"/>
              </w:rPr>
              <w:t xml:space="preserve"> (на 100 000 населения в год)</w:t>
            </w:r>
          </w:p>
        </w:tc>
        <w:tc>
          <w:tcPr>
            <w:tcW w:w="4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60" w:rsidRDefault="005F2E6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5F2E60" w:rsidRDefault="005F2E6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5F2E60" w:rsidRDefault="00622E61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Отражает реализацию рисков здоровью населения от загрязнения атмосферного воздуха среды обитания населения</w:t>
            </w:r>
          </w:p>
          <w:p w:rsidR="005F2E60" w:rsidRDefault="005F2E60">
            <w:pPr>
              <w:jc w:val="center"/>
              <w:rPr>
                <w:rFonts w:cs="Times New Roman"/>
                <w:b/>
                <w:szCs w:val="30"/>
              </w:rPr>
            </w:pPr>
          </w:p>
        </w:tc>
      </w:tr>
      <w:tr w:rsidR="005F2E60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pStyle w:val="af"/>
              <w:tabs>
                <w:tab w:val="left" w:pos="883"/>
                <w:tab w:val="left" w:pos="9498"/>
              </w:tabs>
              <w:ind w:left="170"/>
              <w:jc w:val="both"/>
            </w:pPr>
            <w:r>
              <w:rPr>
                <w:rFonts w:cs="Times New Roman"/>
                <w:b/>
                <w:sz w:val="22"/>
                <w:szCs w:val="30"/>
              </w:rPr>
              <w:t xml:space="preserve">Заболеваемость системы кровообращения взрослого населения в возрасте 18 лет и старше </w:t>
            </w:r>
            <w:r>
              <w:rPr>
                <w:rFonts w:cs="Times New Roman"/>
                <w:i/>
                <w:sz w:val="22"/>
                <w:szCs w:val="30"/>
              </w:rPr>
              <w:t>(на 100 000 населения в год)</w:t>
            </w:r>
          </w:p>
        </w:tc>
        <w:tc>
          <w:tcPr>
            <w:tcW w:w="4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pStyle w:val="af"/>
              <w:tabs>
                <w:tab w:val="left" w:pos="883"/>
                <w:tab w:val="left" w:pos="9498"/>
              </w:tabs>
              <w:ind w:left="170"/>
              <w:jc w:val="both"/>
            </w:pPr>
            <w:r>
              <w:rPr>
                <w:rFonts w:cs="Times New Roman"/>
                <w:b/>
                <w:sz w:val="22"/>
                <w:szCs w:val="30"/>
              </w:rPr>
              <w:t xml:space="preserve">Заболеваемость хроническими бронхитами взрослого населения в возрасте 18 лет и старше </w:t>
            </w:r>
            <w:r>
              <w:rPr>
                <w:rFonts w:cs="Times New Roman"/>
                <w:i/>
                <w:sz w:val="22"/>
                <w:szCs w:val="30"/>
              </w:rPr>
              <w:t>(на 100 000 населения в год)</w:t>
            </w:r>
          </w:p>
        </w:tc>
        <w:tc>
          <w:tcPr>
            <w:tcW w:w="4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pStyle w:val="af"/>
              <w:tabs>
                <w:tab w:val="left" w:pos="883"/>
                <w:tab w:val="left" w:pos="9498"/>
              </w:tabs>
              <w:ind w:left="170"/>
              <w:jc w:val="both"/>
            </w:pPr>
            <w:r>
              <w:rPr>
                <w:rFonts w:cs="Times New Roman"/>
                <w:b/>
                <w:sz w:val="22"/>
                <w:szCs w:val="30"/>
              </w:rPr>
              <w:t xml:space="preserve">Заболеваемость бронхиальной астмой  взрослого населения в возрасте 18 лет и старше </w:t>
            </w:r>
            <w:r>
              <w:rPr>
                <w:rFonts w:cs="Times New Roman"/>
                <w:i/>
                <w:sz w:val="22"/>
                <w:szCs w:val="30"/>
              </w:rPr>
              <w:t>(на 100 000 населения в год)</w:t>
            </w:r>
            <w:r>
              <w:rPr>
                <w:rFonts w:cs="Times New Roman"/>
                <w:b/>
                <w:sz w:val="22"/>
                <w:szCs w:val="30"/>
              </w:rPr>
              <w:t xml:space="preserve"> </w:t>
            </w:r>
          </w:p>
        </w:tc>
        <w:tc>
          <w:tcPr>
            <w:tcW w:w="4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pStyle w:val="af"/>
              <w:tabs>
                <w:tab w:val="left" w:pos="883"/>
                <w:tab w:val="left" w:pos="9498"/>
              </w:tabs>
              <w:ind w:left="170"/>
              <w:jc w:val="both"/>
            </w:pPr>
            <w:r>
              <w:rPr>
                <w:rFonts w:cs="Times New Roman"/>
                <w:b/>
                <w:sz w:val="22"/>
                <w:szCs w:val="30"/>
              </w:rPr>
              <w:t xml:space="preserve">Заболеваемость пневмониями детей и подростков в возрасте 0-14 лет </w:t>
            </w:r>
            <w:r>
              <w:rPr>
                <w:rFonts w:cs="Times New Roman"/>
                <w:i/>
                <w:sz w:val="22"/>
                <w:szCs w:val="30"/>
              </w:rPr>
              <w:t>(на 100 000 населения в год)</w:t>
            </w:r>
          </w:p>
        </w:tc>
        <w:tc>
          <w:tcPr>
            <w:tcW w:w="4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pStyle w:val="af"/>
              <w:tabs>
                <w:tab w:val="left" w:pos="883"/>
                <w:tab w:val="left" w:pos="9498"/>
              </w:tabs>
              <w:ind w:left="170"/>
              <w:jc w:val="both"/>
              <w:rPr>
                <w:rFonts w:cs="Times New Roman"/>
                <w:b/>
                <w:sz w:val="22"/>
                <w:szCs w:val="30"/>
              </w:rPr>
            </w:pPr>
            <w:r>
              <w:rPr>
                <w:rFonts w:cs="Times New Roman"/>
                <w:b/>
                <w:sz w:val="22"/>
                <w:szCs w:val="30"/>
              </w:rPr>
              <w:t>Качество проб воздуха в мониторинговых точках по данным зон.ЦГЭ в соответствии с постановлением №105</w:t>
            </w:r>
          </w:p>
        </w:tc>
        <w:tc>
          <w:tcPr>
            <w:tcW w:w="4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</w:tbl>
    <w:p w:rsidR="005F2E60" w:rsidRDefault="005F2E60">
      <w:pPr>
        <w:jc w:val="center"/>
        <w:rPr>
          <w:rFonts w:cs="Times New Roman"/>
          <w:b/>
          <w:szCs w:val="30"/>
        </w:rPr>
      </w:pPr>
    </w:p>
    <w:p w:rsidR="005F2E60" w:rsidRDefault="00622E61">
      <w:pPr>
        <w:jc w:val="center"/>
      </w:pPr>
      <w:r>
        <w:rPr>
          <w:rFonts w:cs="Times New Roman"/>
          <w:b/>
          <w:szCs w:val="30"/>
        </w:rPr>
        <w:t xml:space="preserve">ЦУР </w:t>
      </w:r>
      <w:r>
        <w:rPr>
          <w:rFonts w:cs="Times New Roman"/>
          <w:b/>
          <w:color w:val="000000"/>
          <w:szCs w:val="30"/>
        </w:rPr>
        <w:t xml:space="preserve">3.9.1. - </w:t>
      </w:r>
      <w:r>
        <w:rPr>
          <w:rFonts w:cs="Times New Roman"/>
          <w:b/>
          <w:szCs w:val="30"/>
        </w:rPr>
        <w:t xml:space="preserve">Индикаторы управленческих решений для  оценки деятельности по достижению показателя для Минской области </w:t>
      </w:r>
    </w:p>
    <w:tbl>
      <w:tblPr>
        <w:tblW w:w="9781" w:type="dxa"/>
        <w:tblInd w:w="1" w:type="dxa"/>
        <w:tblLook w:val="0000" w:firstRow="0" w:lastRow="0" w:firstColumn="0" w:lastColumn="0" w:noHBand="0" w:noVBand="0"/>
      </w:tblPr>
      <w:tblGrid>
        <w:gridCol w:w="5536"/>
        <w:gridCol w:w="4245"/>
      </w:tblGrid>
      <w:tr w:rsidR="005F2E60">
        <w:trPr>
          <w:trHeight w:val="40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Индикатор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Обоснование использования</w:t>
            </w:r>
          </w:p>
        </w:tc>
      </w:tr>
      <w:tr w:rsidR="005F2E60">
        <w:trPr>
          <w:trHeight w:val="40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</w:pPr>
            <w:r>
              <w:rPr>
                <w:b/>
                <w:sz w:val="28"/>
                <w:szCs w:val="28"/>
              </w:rPr>
              <w:t xml:space="preserve">1.23. Смертность лиц трудоспособного возраста </w:t>
            </w:r>
            <w:r>
              <w:rPr>
                <w:i/>
                <w:sz w:val="28"/>
                <w:szCs w:val="28"/>
              </w:rPr>
              <w:t>(на 100 тыс. населения в год):</w:t>
            </w:r>
          </w:p>
          <w:p w:rsidR="005F2E60" w:rsidRDefault="00622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1.23.1 – общая;</w:t>
            </w:r>
          </w:p>
          <w:p w:rsidR="005F2E60" w:rsidRDefault="00622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1.23.1 – мужчины;</w:t>
            </w:r>
          </w:p>
          <w:p w:rsidR="005F2E60" w:rsidRDefault="00622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1.23.2 – женщины.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Отражает реализацию рисков здоровью населения от загрязнения атмосферного воздуха среды обитания населения</w:t>
            </w:r>
          </w:p>
        </w:tc>
      </w:tr>
      <w:tr w:rsidR="005F2E60">
        <w:trPr>
          <w:trHeight w:val="40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1.31. Валовый выброс загрязняющих веществ от стационарных источников </w:t>
            </w:r>
            <w:r>
              <w:rPr>
                <w:rFonts w:cs="Times New Roman"/>
                <w:i/>
                <w:sz w:val="28"/>
                <w:szCs w:val="28"/>
              </w:rPr>
              <w:lastRenderedPageBreak/>
              <w:t xml:space="preserve">(тонн в год): </w:t>
            </w:r>
          </w:p>
          <w:p w:rsidR="005F2E60" w:rsidRDefault="00622E61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всего, в том числе:</w:t>
            </w:r>
          </w:p>
          <w:p w:rsidR="005F2E60" w:rsidRDefault="00622E61">
            <w:pPr>
              <w:spacing w:after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8"/>
                <w:szCs w:val="28"/>
              </w:rPr>
              <w:t>твердые ,диоксид серы. диоксид азота ,оксид углерода, ,углеводороды, не метановые летучие соединения, прочие</w:t>
            </w: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5F2E60">
        <w:trPr>
          <w:trHeight w:val="40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1.32.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Уровни загрязнения воздуха в городах </w:t>
            </w:r>
            <w:r>
              <w:rPr>
                <w:i/>
                <w:sz w:val="28"/>
                <w:szCs w:val="28"/>
              </w:rPr>
              <w:t>(удельный вес проб воздуха, превышающих предельно-допустимые концентрации), в разрезе по загрязнителям.</w:t>
            </w: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rPr>
          <w:trHeight w:val="407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1.33. Уровни загрязнения воздуха в селах </w:t>
            </w:r>
            <w:r>
              <w:rPr>
                <w:i/>
                <w:sz w:val="28"/>
                <w:szCs w:val="28"/>
              </w:rPr>
              <w:t>(удельный вес проб воздуха, превышающих предельно-допустимые концентрации), в в разрезе по загрязнителям.</w:t>
            </w: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spacing w:after="0"/>
              <w:jc w:val="both"/>
            </w:pPr>
            <w:r>
              <w:rPr>
                <w:b/>
                <w:sz w:val="28"/>
                <w:szCs w:val="28"/>
              </w:rPr>
              <w:t xml:space="preserve">1.34. Индекс загрязнения атмосферного воздуха </w:t>
            </w:r>
            <w:r>
              <w:rPr>
                <w:sz w:val="28"/>
                <w:szCs w:val="28"/>
              </w:rPr>
              <w:t>(удельный вес проб воздуха, превышающих ПДК).</w:t>
            </w:r>
          </w:p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1.34.1 – город;</w:t>
            </w:r>
          </w:p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1.34.2 – село.</w:t>
            </w: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5F2E60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spacing w:after="0"/>
              <w:jc w:val="both"/>
            </w:pPr>
            <w:r>
              <w:rPr>
                <w:b/>
                <w:sz w:val="28"/>
                <w:szCs w:val="28"/>
              </w:rPr>
              <w:t xml:space="preserve">1.46. Частота заболеваний с врожденными аномалиями и хромосомными нарушениями </w:t>
            </w:r>
            <w:r>
              <w:rPr>
                <w:i/>
                <w:sz w:val="28"/>
                <w:szCs w:val="28"/>
              </w:rPr>
              <w:t>(на 1000 населения за год):</w:t>
            </w:r>
          </w:p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1.46.1 – все население</w:t>
            </w:r>
          </w:p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1.46.2 – взрослые 18 лет и старше;</w:t>
            </w:r>
          </w:p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1.46.3 – подростки (15-17 лет);</w:t>
            </w:r>
          </w:p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1.46.4 – дети (0-14 лет).</w:t>
            </w: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5F2E60">
        <w:trPr>
          <w:trHeight w:val="137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1.47. Онкозаболеваемость (больные с впервые установленным диагнозом) (</w:t>
            </w:r>
            <w:r>
              <w:rPr>
                <w:b/>
                <w:i/>
                <w:sz w:val="28"/>
                <w:szCs w:val="28"/>
              </w:rPr>
              <w:t>на 100 тыс. населения за год)</w:t>
            </w:r>
            <w:r>
              <w:rPr>
                <w:b/>
                <w:sz w:val="28"/>
                <w:szCs w:val="28"/>
              </w:rPr>
              <w:t xml:space="preserve"> с 1.47.1 по 1.47.6 с указанными в программе возрастными группами</w:t>
            </w: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1.61. Первичная заболеваемость туберкулезом </w:t>
            </w:r>
            <w:r>
              <w:rPr>
                <w:b/>
                <w:i/>
                <w:sz w:val="28"/>
                <w:szCs w:val="28"/>
              </w:rPr>
              <w:t>(на 100 тыс. населения за год):</w:t>
            </w:r>
            <w:r>
              <w:rPr>
                <w:b/>
                <w:sz w:val="28"/>
                <w:szCs w:val="28"/>
              </w:rPr>
              <w:t xml:space="preserve"> 1.61.1. – 1.61.2. (село ,город , всего;– по возрастным группам населения, в соответствии с программой достижения показателя)</w:t>
            </w: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spacing w:after="0"/>
              <w:ind w:right="-1"/>
              <w:jc w:val="both"/>
            </w:pPr>
            <w:r>
              <w:rPr>
                <w:b/>
                <w:sz w:val="28"/>
                <w:szCs w:val="28"/>
              </w:rPr>
              <w:t xml:space="preserve">                  Блок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- Раздел «Профессиональный тренинг»:</w:t>
            </w:r>
          </w:p>
          <w:p w:rsidR="005F2E60" w:rsidRDefault="00622E61">
            <w:pPr>
              <w:tabs>
                <w:tab w:val="left" w:pos="9498"/>
              </w:tabs>
              <w:spacing w:after="0"/>
              <w:ind w:right="-1" w:firstLine="11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проведенных семинаров-совещаний, опубликовано статей</w:t>
            </w:r>
          </w:p>
        </w:tc>
      </w:tr>
    </w:tbl>
    <w:p w:rsidR="005F2E60" w:rsidRDefault="005F2E60">
      <w:pPr>
        <w:sectPr w:rsidR="005F2E60">
          <w:headerReference w:type="default" r:id="rId17"/>
          <w:pgSz w:w="11906" w:h="16838"/>
          <w:pgMar w:top="1134" w:right="566" w:bottom="993" w:left="1701" w:header="454" w:footer="0" w:gutter="0"/>
          <w:cols w:space="720"/>
          <w:formProt w:val="0"/>
          <w:docGrid w:linePitch="408"/>
        </w:sectPr>
      </w:pPr>
    </w:p>
    <w:p w:rsidR="005F2E60" w:rsidRDefault="00622E61">
      <w:pPr>
        <w:jc w:val="center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lastRenderedPageBreak/>
        <w:t>ПРОБЛЕМНО-ЦЕЛЕВОЙ АНАЛИЗ  МОНИТОРИНГА  ПОКАЗАТЕЛЯ ЦУР 3.9.1</w:t>
      </w:r>
    </w:p>
    <w:p w:rsidR="005F2E60" w:rsidRDefault="005F2E60">
      <w:pPr>
        <w:jc w:val="center"/>
        <w:rPr>
          <w:rFonts w:cs="Times New Roman"/>
          <w:b/>
          <w:szCs w:val="30"/>
        </w:rPr>
      </w:pPr>
    </w:p>
    <w:tbl>
      <w:tblPr>
        <w:tblW w:w="14709" w:type="dxa"/>
        <w:tblInd w:w="-109" w:type="dxa"/>
        <w:tblLook w:val="0000" w:firstRow="0" w:lastRow="0" w:firstColumn="0" w:lastColumn="0" w:noHBand="0" w:noVBand="0"/>
      </w:tblPr>
      <w:tblGrid>
        <w:gridCol w:w="3652"/>
        <w:gridCol w:w="4392"/>
        <w:gridCol w:w="6665"/>
      </w:tblGrid>
      <w:tr w:rsidR="005F2E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Проблемные аспекты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Причины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Мероприятия</w:t>
            </w:r>
          </w:p>
        </w:tc>
      </w:tr>
      <w:tr w:rsidR="005F2E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 xml:space="preserve">База данных загрязненности атмосферного воздуха </w:t>
            </w:r>
            <w:r>
              <w:rPr>
                <w:rFonts w:cs="Times New Roman"/>
                <w:i/>
                <w:sz w:val="22"/>
              </w:rPr>
              <w:t>(далее – база данных)</w:t>
            </w:r>
            <w:r>
              <w:rPr>
                <w:rFonts w:cs="Times New Roman"/>
                <w:sz w:val="22"/>
              </w:rPr>
              <w:t xml:space="preserve"> не применима для эпидемиологического анализа  неинфекционной заболеваемости</w:t>
            </w:r>
            <w:r>
              <w:rPr>
                <w:rFonts w:cs="Times New Roman"/>
                <w:i/>
                <w:sz w:val="22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 w:val="22"/>
              </w:rPr>
              <w:t>Отсутствие социального заказа на разработку методологии расчета территориальной однородности уровней загрязнения атмосферного воздуха по гигиеническим параметрам.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pStyle w:val="af"/>
              <w:ind w:left="34" w:firstLine="326"/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Выполнение в рамках отраслевой и государственных  научно-технических программ НИР на тему, включающей:</w:t>
            </w:r>
          </w:p>
          <w:p w:rsidR="005F2E60" w:rsidRDefault="00622E61">
            <w:pPr>
              <w:pStyle w:val="af"/>
              <w:ind w:left="34" w:firstLine="326"/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разработку системы мониторинга за загрязнителями атмосферного воздуха</w:t>
            </w:r>
            <w:r>
              <w:rPr>
                <w:rFonts w:cs="Times New Roman"/>
                <w:i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на основе принципа дискретного программного моделирования;</w:t>
            </w:r>
          </w:p>
          <w:p w:rsidR="005F2E60" w:rsidRDefault="00622E61">
            <w:pPr>
              <w:pStyle w:val="af"/>
              <w:ind w:left="34" w:firstLine="326"/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разработку методики расчета территориальной однородности уровней загрязнения;</w:t>
            </w:r>
          </w:p>
          <w:p w:rsidR="005F2E60" w:rsidRDefault="00622E61">
            <w:pPr>
              <w:pStyle w:val="af"/>
              <w:ind w:left="34" w:firstLine="326"/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подготовку проекта технического нормативного документа, определяющего порядок оценки качества окружающей среды на административной территории по гигиеническим параметрам на основе расчета степени территориальной однородности уровней химического и физического загрязнения.</w:t>
            </w:r>
          </w:p>
        </w:tc>
      </w:tr>
      <w:tr w:rsidR="005F2E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База данных СГМ не позволяет давать оценку объективных показателей устойчивости развития по ряду показателей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Ограниченная результативность  динамического анализа на основании нулевых результатов </w:t>
            </w:r>
            <w:r>
              <w:rPr>
                <w:rFonts w:cs="Times New Roman"/>
                <w:i/>
                <w:sz w:val="24"/>
                <w:szCs w:val="24"/>
              </w:rPr>
              <w:t>(проблема «0» в базе данных многолетних наблюдений)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Переход от анализа базы данных на основе учета превышений/не превышений ПДК к анализу базы данных на основе прямых  величин нормируемых гигиенических показателей в пределах ПДК.</w:t>
            </w:r>
          </w:p>
        </w:tc>
      </w:tr>
    </w:tbl>
    <w:p w:rsidR="005F2E60" w:rsidRDefault="005F2E60">
      <w:pPr>
        <w:sectPr w:rsidR="005F2E60">
          <w:headerReference w:type="default" r:id="rId18"/>
          <w:footerReference w:type="default" r:id="rId19"/>
          <w:pgSz w:w="16838" w:h="11906" w:orient="landscape"/>
          <w:pgMar w:top="765" w:right="1417" w:bottom="1417" w:left="1417" w:header="708" w:footer="708" w:gutter="0"/>
          <w:pgNumType w:start="17"/>
          <w:cols w:space="720"/>
          <w:formProt w:val="0"/>
          <w:docGrid w:linePitch="408"/>
        </w:sectPr>
      </w:pPr>
    </w:p>
    <w:p w:rsidR="005F2E60" w:rsidRDefault="00622E61">
      <w:pPr>
        <w:jc w:val="center"/>
      </w:pPr>
      <w:r>
        <w:rPr>
          <w:rFonts w:cs="Times New Roman"/>
          <w:b/>
          <w:color w:val="000000"/>
          <w:szCs w:val="30"/>
          <w:lang w:val="be-BY"/>
        </w:rPr>
        <w:lastRenderedPageBreak/>
        <w:t>Показатели ЦУР 3.9.1</w:t>
      </w:r>
      <w:r>
        <w:rPr>
          <w:rFonts w:cs="Times New Roman"/>
          <w:b/>
          <w:color w:val="000000"/>
          <w:szCs w:val="30"/>
        </w:rPr>
        <w:t>.</w:t>
      </w:r>
    </w:p>
    <w:tbl>
      <w:tblPr>
        <w:tblW w:w="14900" w:type="dxa"/>
        <w:tblInd w:w="77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17"/>
        <w:gridCol w:w="765"/>
        <w:gridCol w:w="674"/>
        <w:gridCol w:w="763"/>
        <w:gridCol w:w="731"/>
        <w:gridCol w:w="635"/>
        <w:gridCol w:w="635"/>
        <w:gridCol w:w="635"/>
        <w:gridCol w:w="640"/>
        <w:gridCol w:w="655"/>
        <w:gridCol w:w="653"/>
        <w:gridCol w:w="652"/>
        <w:gridCol w:w="672"/>
        <w:gridCol w:w="731"/>
        <w:gridCol w:w="864"/>
        <w:gridCol w:w="840"/>
        <w:gridCol w:w="1476"/>
        <w:gridCol w:w="531"/>
        <w:gridCol w:w="531"/>
      </w:tblGrid>
      <w:tr w:rsidR="005F2E60"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2007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2008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2009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2010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2011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Предельные уровни</w:t>
            </w:r>
          </w:p>
        </w:tc>
      </w:tr>
      <w:tr w:rsidR="005F2E60"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2030</w:t>
            </w:r>
          </w:p>
        </w:tc>
      </w:tr>
      <w:tr w:rsidR="005F2E60">
        <w:tc>
          <w:tcPr>
            <w:tcW w:w="12350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ЦУР 3.9.1. - Показатель ВОЗ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Смертность от загрязнения воздуха в жилых помещениях и атмосферного воздуха (на 100 000) населения</w:t>
            </w:r>
          </w:p>
        </w:tc>
        <w:tc>
          <w:tcPr>
            <w:tcW w:w="8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Начало мониторинга после разработки методики расчета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100,8</w:t>
            </w:r>
          </w:p>
          <w:p w:rsidR="005F2E60" w:rsidRDefault="005F2E60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(2012г)</w:t>
            </w:r>
          </w:p>
          <w:p w:rsidR="005F2E60" w:rsidRDefault="00622E61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Данные</w:t>
            </w:r>
          </w:p>
          <w:p w:rsidR="005F2E60" w:rsidRDefault="00622E61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ВОЗ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Определяются после разработки методики расчета</w:t>
            </w:r>
          </w:p>
        </w:tc>
      </w:tr>
      <w:tr w:rsidR="005F2E60">
        <w:tc>
          <w:tcPr>
            <w:tcW w:w="12350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 xml:space="preserve">ЦУР 3.9.1. – Косвенные показатели ТНПА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5F2E60">
        <w:trPr>
          <w:trHeight w:val="76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spacing w:after="0"/>
              <w:ind w:right="-1" w:firstLine="142"/>
              <w:contextualSpacing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color w:val="C9211E"/>
                <w:sz w:val="16"/>
                <w:szCs w:val="16"/>
              </w:rPr>
              <w:t>Общая смертность населения</w:t>
            </w:r>
            <w:r>
              <w:rPr>
                <w:rFonts w:cs="Times New Roman"/>
                <w:i/>
                <w:color w:val="C9211E"/>
                <w:sz w:val="16"/>
                <w:szCs w:val="16"/>
              </w:rPr>
              <w:t xml:space="preserve"> (на 100000 населения в 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23 154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20 927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20 115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20 034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19 866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19 948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20 040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19 978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34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spacing w:after="0"/>
              <w:ind w:right="-1"/>
              <w:contextualSpacing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Заболеваемость системы кровообращения взрослого населения 18 лет и старше </w:t>
            </w:r>
            <w:r>
              <w:rPr>
                <w:rFonts w:cs="Times New Roman"/>
                <w:i/>
                <w:sz w:val="16"/>
                <w:szCs w:val="16"/>
              </w:rPr>
              <w:t>(на 1000 населения в год)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44,80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33,62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31,17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30,07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32,24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31,04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32,07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34,82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38,33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40,27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42,60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cs="Calibri"/>
                <w:sz w:val="16"/>
                <w:szCs w:val="16"/>
              </w:rPr>
              <w:t>46,58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rPr>
          <w:trHeight w:val="57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spacing w:after="0"/>
              <w:contextualSpacing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Заболеваемость хроническими бронхитами взрослого населения в возрасте 18 лет и старше </w:t>
            </w:r>
            <w:r>
              <w:rPr>
                <w:rFonts w:cs="Times New Roman"/>
                <w:i/>
                <w:sz w:val="16"/>
                <w:szCs w:val="16"/>
              </w:rPr>
              <w:t>(на 100 000 населения в год)</w:t>
            </w:r>
          </w:p>
        </w:tc>
        <w:tc>
          <w:tcPr>
            <w:tcW w:w="8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Начало мониторинга с 2018 г.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8,1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34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устанавливается</w:t>
            </w:r>
          </w:p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spacing w:after="0"/>
              <w:ind w:right="-1" w:firstLine="142"/>
              <w:contextualSpacing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Заболеваемость бронхиальной астмой  взрослого населения в возрасте 18 лет и старше </w:t>
            </w:r>
            <w:r>
              <w:rPr>
                <w:rFonts w:cs="Times New Roman"/>
                <w:i/>
                <w:sz w:val="16"/>
                <w:szCs w:val="16"/>
              </w:rPr>
              <w:t>(на 100 000 населения в год)</w:t>
            </w:r>
          </w:p>
        </w:tc>
        <w:tc>
          <w:tcPr>
            <w:tcW w:w="8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Начало мониторинга с 2018 г.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8,4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spacing w:after="0"/>
              <w:ind w:right="-1" w:firstLine="142"/>
              <w:contextualSpacing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Заболеваемость пневмониями </w:t>
            </w:r>
          </w:p>
          <w:p w:rsidR="005F2E60" w:rsidRDefault="00622E61">
            <w:pPr>
              <w:tabs>
                <w:tab w:val="left" w:pos="9498"/>
              </w:tabs>
              <w:spacing w:after="0"/>
              <w:ind w:right="-1" w:firstLine="142"/>
              <w:contextualSpacing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 xml:space="preserve">детей и подростков в </w:t>
            </w:r>
            <w:r>
              <w:rPr>
                <w:rFonts w:cs="Times New Roman"/>
                <w:i/>
                <w:sz w:val="16"/>
                <w:szCs w:val="16"/>
              </w:rPr>
              <w:t xml:space="preserve">(на 100 000 населения в год), </w:t>
            </w:r>
            <w:r>
              <w:rPr>
                <w:rFonts w:cs="Times New Roman"/>
                <w:b/>
                <w:sz w:val="16"/>
                <w:szCs w:val="16"/>
              </w:rPr>
              <w:t xml:space="preserve"> возрасте: 0-17 лет</w:t>
            </w:r>
          </w:p>
        </w:tc>
        <w:tc>
          <w:tcPr>
            <w:tcW w:w="8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Начало мониторинга с 2018 г.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12,2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spacing w:after="0"/>
              <w:ind w:right="-1" w:firstLine="142"/>
              <w:contextualSpacing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color w:val="C9211E"/>
                <w:sz w:val="16"/>
                <w:szCs w:val="16"/>
              </w:rPr>
              <w:lastRenderedPageBreak/>
              <w:t>Качество проб воздуха в мониторинговых точках по данным зонЦГЭ в соответствии с постановлением № 105</w:t>
            </w:r>
          </w:p>
        </w:tc>
        <w:tc>
          <w:tcPr>
            <w:tcW w:w="812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E61" w:rsidRDefault="00622E61" w:rsidP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0,0</w:t>
            </w:r>
          </w:p>
        </w:tc>
        <w:tc>
          <w:tcPr>
            <w:tcW w:w="3450" w:type="dxa"/>
            <w:gridSpan w:val="4"/>
            <w:tcBorders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2350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ЦУР 3.9.1. - Индикаторы управленческих решений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/>
              </w:rPr>
            </w:pPr>
          </w:p>
        </w:tc>
      </w:tr>
      <w:tr w:rsidR="005F2E60">
        <w:trPr>
          <w:trHeight w:val="78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ind w:firstLine="142"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1.23.  Смертность лиц трудоспособного возраста </w:t>
            </w:r>
            <w:r>
              <w:rPr>
                <w:rFonts w:cs="Times New Roman"/>
                <w:b/>
                <w:i/>
                <w:sz w:val="16"/>
                <w:szCs w:val="16"/>
              </w:rPr>
              <w:t>(на 100 000 населения в год), в том числе:</w:t>
            </w:r>
          </w:p>
          <w:p w:rsidR="005F2E60" w:rsidRDefault="00622E61">
            <w:pPr>
              <w:ind w:firstLine="142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1.23.1 – общая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662,30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487,60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479,30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466,80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487,52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  <w:szCs w:val="24"/>
              </w:rPr>
            </w:pPr>
            <w:r>
              <w:rPr>
                <w:sz w:val="16"/>
                <w:szCs w:val="16"/>
              </w:rPr>
              <w:t>496,8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устанавливается</w:t>
            </w: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устанавливается</w:t>
            </w: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устанавливается</w:t>
            </w:r>
          </w:p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ind w:firstLine="142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1.23.1 –  мужчины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1037,30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751,10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735,60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707,10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742,88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  <w:szCs w:val="24"/>
              </w:rPr>
            </w:pPr>
            <w:r>
              <w:rPr>
                <w:sz w:val="16"/>
                <w:szCs w:val="16"/>
              </w:rPr>
              <w:t>753,4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ind w:firstLine="142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1.23.2 –  женщины.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241,00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177,80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175,10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181,50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0"/>
                <w:szCs w:val="24"/>
              </w:rPr>
            </w:pPr>
            <w:r>
              <w:rPr>
                <w:sz w:val="16"/>
                <w:szCs w:val="16"/>
              </w:rPr>
              <w:t>184,15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  <w:szCs w:val="24"/>
              </w:rPr>
            </w:pPr>
            <w:r>
              <w:rPr>
                <w:sz w:val="16"/>
                <w:szCs w:val="16"/>
              </w:rPr>
              <w:t>192,0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rPr>
          <w:trHeight w:val="98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/>
                <w:color w:val="FF0000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 xml:space="preserve">1.31. Валовый выброс загрязняющих веществ от стационарных источников </w:t>
            </w:r>
            <w:r>
              <w:rPr>
                <w:rFonts w:cs="Times New Roman"/>
                <w:b/>
                <w:i/>
                <w:color w:val="FF0000"/>
                <w:sz w:val="16"/>
                <w:szCs w:val="16"/>
              </w:rPr>
              <w:t>(тонн в год):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rPr>
          <w:trHeight w:val="243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всего,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70,640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твердые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5,226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диоксид серы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2,246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диоксид азота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5,316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lastRenderedPageBreak/>
              <w:t>оксид углерода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16,212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lastRenderedPageBreak/>
              <w:t>углеводороды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31,800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неметановые летучие соединения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A3238E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5,650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 xml:space="preserve">1.32. Уровни загрязнения воздуха в городах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(удельный вес проб воздуха, превышающих предельно-допустимые концентрации), в том числе:</w:t>
            </w:r>
            <w:r>
              <w:rPr>
                <w:rFonts w:cs="Times New Roman"/>
                <w:b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0,4%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0,2%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0,18%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0,05%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1.32.1  – пыль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 0,7%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 0,5%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 0,6%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 0,3%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 0,2%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0,23%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1.32.2  – сернистый газ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1.32.3  – окись углерода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0,2%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1.32.4  – окислы азота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1.32.5  – фенол и его производные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0,4%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1,3%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1.35.6 – формальдегид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9,2%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12,6%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9,9%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3,2%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1,7%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1,7%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1,4%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0,11%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318"/>
              </w:tabs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1.35.6 – ароматические углеводороды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318"/>
              </w:tabs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1.35.7 – соли тяжелых металлов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318"/>
              </w:tabs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1.35.8 – предельные углеводороды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 xml:space="preserve">1.33. Уровни загрязнения воздуха 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 селах 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(удельный вес проб воздуха, превышающих предельно-допустимые концентрации), в том числе: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0,6%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0,3 %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0,2%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0,5%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0,05%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 0,3%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0,18%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 0,1%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lastRenderedPageBreak/>
              <w:t>1.33.1.  – пыль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0,8%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2,1%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6,6%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3,8%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1.33.2.  – сернистый газ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0,32%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1.33.3.  – окись углерода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0,4%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1.33.4.  – окислы азота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1.33.5.  – аммиак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0,5%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5,3%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0,5%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1,1%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 xml:space="preserve">1.34. Индекс загрязнения атмосферного воздуха </w:t>
            </w:r>
            <w:r>
              <w:rPr>
                <w:rFonts w:cs="Times New Roman"/>
                <w:color w:val="000000"/>
                <w:sz w:val="16"/>
                <w:szCs w:val="16"/>
              </w:rPr>
              <w:t>(удельный вес проб воздуха, превышающих ПДК), в том числе:</w:t>
            </w:r>
            <w:r>
              <w:rPr>
                <w:rFonts w:cs="Times New Roman"/>
                <w:b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1.34.1. – город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1,3%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0,4%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0,2%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0,18%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00A65D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1.34.2. – село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0,3 %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0,2%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0,5%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0,05%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0,3%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0,18%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0,1%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0,9%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rPr>
          <w:trHeight w:val="132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1.46. Частота заболеваний с врожденными аномалиями и хромосомными нарушениями </w:t>
            </w:r>
            <w:r>
              <w:rPr>
                <w:rFonts w:cs="Times New Roman"/>
                <w:i/>
                <w:sz w:val="16"/>
                <w:szCs w:val="16"/>
              </w:rPr>
              <w:t>(на 1000 населения за год):</w:t>
            </w:r>
            <w:r>
              <w:rPr>
                <w:rFonts w:cs="Times New Roman"/>
                <w:b/>
                <w:sz w:val="16"/>
                <w:szCs w:val="16"/>
              </w:rPr>
              <w:t xml:space="preserve">  1.46.1. – все население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1,58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1,66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1,84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2,28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Pr="00622E61" w:rsidRDefault="00622E61">
            <w:pPr>
              <w:jc w:val="center"/>
              <w:rPr>
                <w:sz w:val="16"/>
                <w:szCs w:val="16"/>
              </w:rPr>
            </w:pPr>
            <w:r w:rsidRPr="00622E61">
              <w:rPr>
                <w:sz w:val="16"/>
                <w:szCs w:val="16"/>
              </w:rPr>
              <w:t>2,16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1.46.2. – взрослые 18 лет и старше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0,40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0,47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Pr="00622E61" w:rsidRDefault="00622E61">
            <w:pPr>
              <w:jc w:val="center"/>
              <w:rPr>
                <w:sz w:val="16"/>
                <w:szCs w:val="16"/>
              </w:rPr>
            </w:pPr>
            <w:r w:rsidRPr="00622E61">
              <w:rPr>
                <w:sz w:val="16"/>
                <w:szCs w:val="16"/>
              </w:rPr>
              <w:t>0,47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lastRenderedPageBreak/>
              <w:t>1.46.3. – подростки (15-17 лет)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Pr="00622E61" w:rsidRDefault="00622E61">
            <w:pPr>
              <w:jc w:val="center"/>
              <w:rPr>
                <w:sz w:val="16"/>
                <w:szCs w:val="16"/>
              </w:rPr>
            </w:pPr>
            <w:r w:rsidRPr="00622E61">
              <w:rPr>
                <w:sz w:val="16"/>
                <w:szCs w:val="16"/>
              </w:rPr>
              <w:t>-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lastRenderedPageBreak/>
              <w:t>1.46.4. – дети (0-17 лет)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7,45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8,62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7,75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9,37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9,99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8,30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8,51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8,90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8,87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9,42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9,17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5F2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rPr>
          <w:trHeight w:val="130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1.47. Онкозаболеваемость (больные с впервые установленным диагнозом) </w:t>
            </w:r>
            <w:r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на 100 тыс.  населения за год)</w:t>
            </w:r>
            <w:r>
              <w:rPr>
                <w:rFonts w:cs="Times New Roman"/>
                <w:b/>
                <w:sz w:val="16"/>
                <w:szCs w:val="16"/>
              </w:rPr>
              <w:t xml:space="preserve">: 1.47.1. – всего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9,7092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11,6146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 w:rsidRPr="00622E61">
              <w:rPr>
                <w:sz w:val="16"/>
                <w:szCs w:val="16"/>
              </w:rPr>
              <w:t>8,91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</w:tr>
      <w:tr w:rsidR="005F2E60">
        <w:trPr>
          <w:trHeight w:val="203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16"/>
                <w:szCs w:val="16"/>
              </w:rPr>
              <w:t>Дети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3,9726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sz w:val="22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Взрослые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11,1783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13,3705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sz w:val="22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rPr>
          <w:trHeight w:val="43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1.47.3. – городское население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390,5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517,9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546,8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577,1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1.47.5. – сельское население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523,0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538,4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555,2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1.61. Первичная заболеваемость туберкулезом </w:t>
            </w:r>
            <w:r>
              <w:rPr>
                <w:rFonts w:cs="Times New Roman"/>
                <w:i/>
                <w:sz w:val="16"/>
                <w:szCs w:val="16"/>
              </w:rPr>
              <w:t>(на 100 тыс. населения за год):</w:t>
            </w:r>
            <w:r>
              <w:rPr>
                <w:rFonts w:cs="Times New Roman"/>
                <w:b/>
                <w:sz w:val="16"/>
                <w:szCs w:val="16"/>
              </w:rPr>
              <w:t xml:space="preserve">1.61.1. – общая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51,03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49,56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49,63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47,53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47,83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43,42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37,79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38,07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35,38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28,90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23,96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bookmarkStart w:id="1" w:name="__Fieldmark__49278_2456363090"/>
            <w:bookmarkEnd w:id="1"/>
            <w:r>
              <w:rPr>
                <w:rFonts w:cs="Times New Roman"/>
                <w:color w:val="000000"/>
                <w:sz w:val="16"/>
                <w:szCs w:val="16"/>
              </w:rPr>
              <w:t>21,69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20,45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C36EB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9,73</w:t>
            </w:r>
          </w:p>
        </w:tc>
        <w:tc>
          <w:tcPr>
            <w:tcW w:w="34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устанавливается</w:t>
            </w:r>
          </w:p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1.61.2. – по возрастным группам населения</w:t>
            </w:r>
          </w:p>
        </w:tc>
        <w:tc>
          <w:tcPr>
            <w:tcW w:w="8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rPr>
          <w:trHeight w:val="27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 – 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5,55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3,04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C36EB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0,35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– 34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12,67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13,35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11,33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14,69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12,84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9,68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2,95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C235D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7,93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35 – 54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23,31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21,94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25,19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20,39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20,47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17,58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17,47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16,75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10,82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9,41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C235D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20,67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 и старше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13,89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13,29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11,81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12,38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9,89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11,12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11,83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10,25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8,09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C235D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6,31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  городское население</w:t>
            </w:r>
          </w:p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 xml:space="preserve">   1.61.1. – общая        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39,01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38,86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38,86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37,05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37,21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34,06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29,24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27,05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23,84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18,71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18,73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15,59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C36EB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6,58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 xml:space="preserve">  - сельское население</w:t>
            </w:r>
          </w:p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1.61.1. – общая;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65,83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63,02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60,86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61,43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55,64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49,28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51,01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46,94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31,15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E60" w:rsidRDefault="00622E6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25,62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27,03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B8" w:rsidRDefault="00C36EB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5F2E60" w:rsidRDefault="00C36EB8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14,01</w:t>
            </w: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1.61.2. – по возрастным группам населения</w:t>
            </w:r>
          </w:p>
        </w:tc>
        <w:tc>
          <w:tcPr>
            <w:tcW w:w="8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Начало мониторинга с 2020 г.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5F2E60"/>
        </w:tc>
      </w:tr>
      <w:tr w:rsidR="005F2E60">
        <w:tc>
          <w:tcPr>
            <w:tcW w:w="12350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ind w:right="-1"/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ЦУР 3.9.1. Блок 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II</w:t>
            </w:r>
            <w:r>
              <w:rPr>
                <w:rFonts w:cs="Times New Roman"/>
                <w:b/>
                <w:sz w:val="16"/>
                <w:szCs w:val="16"/>
              </w:rPr>
              <w:t>. - Раздел «Профессиональный тренинг»: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tabs>
                <w:tab w:val="left" w:pos="9498"/>
              </w:tabs>
              <w:ind w:right="-1"/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5F2E60">
        <w:tc>
          <w:tcPr>
            <w:tcW w:w="12350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ind w:right="-1"/>
              <w:jc w:val="center"/>
              <w:rPr>
                <w:rFonts w:ascii="Calibri" w:hAnsi="Calibri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b/>
                <w:sz w:val="16"/>
                <w:szCs w:val="16"/>
              </w:rPr>
              <w:t>(%) охват тренингом  по вопросам управления общественным здоровьем в рамках выполнения показателя ЦУР 3.9.1. - 100%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>
            <w:pPr>
              <w:tabs>
                <w:tab w:val="left" w:pos="9498"/>
              </w:tabs>
              <w:ind w:right="-1"/>
              <w:jc w:val="center"/>
              <w:rPr>
                <w:rFonts w:ascii="Calibri" w:hAnsi="Calibri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5F2E60">
        <w:trPr>
          <w:trHeight w:val="1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ind w:right="-1"/>
              <w:jc w:val="both"/>
              <w:rPr>
                <w:rFonts w:ascii="Calibri" w:hAnsi="Calibri"/>
                <w:highlight w:val="yellow"/>
              </w:rPr>
            </w:pPr>
            <w:r>
              <w:rPr>
                <w:rFonts w:cs="Times New Roman"/>
                <w:b/>
                <w:sz w:val="16"/>
                <w:szCs w:val="16"/>
              </w:rPr>
              <w:t>2.85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;</w:t>
            </w:r>
          </w:p>
        </w:tc>
        <w:tc>
          <w:tcPr>
            <w:tcW w:w="1052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Показатель определяется экспертным путем, начало мониторинга с 2020 г.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</w:p>
        </w:tc>
      </w:tr>
      <w:tr w:rsidR="005F2E60">
        <w:trPr>
          <w:trHeight w:val="1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ind w:right="-1"/>
              <w:jc w:val="both"/>
              <w:rPr>
                <w:rFonts w:ascii="Calibri" w:hAnsi="Calibri"/>
                <w:highlight w:val="yellow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b/>
                <w:sz w:val="16"/>
                <w:szCs w:val="16"/>
              </w:rPr>
              <w:t>.86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;</w:t>
            </w:r>
          </w:p>
        </w:tc>
        <w:tc>
          <w:tcPr>
            <w:tcW w:w="10524" w:type="dxa"/>
            <w:gridSpan w:val="15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>
            <w:pPr>
              <w:rPr>
                <w:highlight w:val="yellow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>
            <w:pPr>
              <w:rPr>
                <w:highlight w:val="yellow"/>
              </w:rPr>
            </w:pPr>
          </w:p>
        </w:tc>
      </w:tr>
      <w:tr w:rsidR="005F2E60">
        <w:trPr>
          <w:trHeight w:val="1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ind w:right="-1"/>
              <w:jc w:val="both"/>
              <w:rPr>
                <w:rFonts w:ascii="Calibri" w:hAnsi="Calibri" w:cs="Times New Roman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2.87.</w:t>
            </w:r>
          </w:p>
        </w:tc>
        <w:tc>
          <w:tcPr>
            <w:tcW w:w="10524" w:type="dxa"/>
            <w:gridSpan w:val="15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>
            <w:pPr>
              <w:rPr>
                <w:highlight w:val="yellow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>
            <w:pPr>
              <w:rPr>
                <w:highlight w:val="yellow"/>
              </w:rPr>
            </w:pPr>
          </w:p>
        </w:tc>
      </w:tr>
      <w:tr w:rsidR="005F2E60">
        <w:trPr>
          <w:trHeight w:val="362"/>
        </w:trPr>
        <w:tc>
          <w:tcPr>
            <w:tcW w:w="12350" w:type="dxa"/>
            <w:gridSpan w:val="1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cs="Times New Roman"/>
                <w:b/>
                <w:sz w:val="16"/>
                <w:szCs w:val="16"/>
              </w:rPr>
              <w:t>ЦУР 3.9.1. (%) уровень информированности профессиональных групп по вопросам управления общественным здоровьем в рамках выполнения показателя ЦУР 3.9.1.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/>
                <w:highlight w:val="yellow"/>
              </w:rPr>
            </w:pPr>
          </w:p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ind w:right="-1"/>
              <w:jc w:val="both"/>
              <w:rPr>
                <w:rFonts w:ascii="Calibri" w:hAnsi="Calibri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b/>
                <w:sz w:val="16"/>
                <w:szCs w:val="16"/>
              </w:rPr>
              <w:t>2.89.</w:t>
            </w:r>
          </w:p>
        </w:tc>
        <w:tc>
          <w:tcPr>
            <w:tcW w:w="1052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622E61">
            <w:pPr>
              <w:jc w:val="center"/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Показатели определяется экспертным путем, начало мониторинга с 2020 г.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>
            <w:pPr>
              <w:jc w:val="center"/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</w:p>
        </w:tc>
      </w:tr>
      <w:tr w:rsidR="005F2E6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0" w:rsidRDefault="00622E61">
            <w:pPr>
              <w:tabs>
                <w:tab w:val="left" w:pos="9498"/>
              </w:tabs>
              <w:ind w:right="-1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2.90.</w:t>
            </w:r>
          </w:p>
        </w:tc>
        <w:tc>
          <w:tcPr>
            <w:tcW w:w="10524" w:type="dxa"/>
            <w:gridSpan w:val="15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2E60" w:rsidRDefault="005F2E60"/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E60" w:rsidRDefault="005F2E60"/>
        </w:tc>
      </w:tr>
    </w:tbl>
    <w:p w:rsidR="005F2E60" w:rsidRDefault="005F2E60">
      <w:pPr>
        <w:jc w:val="center"/>
        <w:rPr>
          <w:szCs w:val="30"/>
        </w:rPr>
      </w:pPr>
    </w:p>
    <w:p w:rsidR="005F2E60" w:rsidRDefault="005F2E60">
      <w:pPr>
        <w:jc w:val="center"/>
        <w:rPr>
          <w:szCs w:val="30"/>
        </w:rPr>
      </w:pPr>
    </w:p>
    <w:p w:rsidR="005F2E60" w:rsidRDefault="005F2E60">
      <w:pPr>
        <w:jc w:val="center"/>
        <w:rPr>
          <w:szCs w:val="30"/>
        </w:rPr>
      </w:pPr>
    </w:p>
    <w:p w:rsidR="005F2E60" w:rsidRDefault="005F2E60">
      <w:pPr>
        <w:jc w:val="center"/>
        <w:rPr>
          <w:szCs w:val="30"/>
        </w:rPr>
      </w:pPr>
    </w:p>
    <w:p w:rsidR="005F2E60" w:rsidRDefault="005F2E60">
      <w:pPr>
        <w:jc w:val="center"/>
        <w:rPr>
          <w:szCs w:val="30"/>
        </w:rPr>
      </w:pPr>
    </w:p>
    <w:p w:rsidR="005F2E60" w:rsidRDefault="005F2E60">
      <w:pPr>
        <w:jc w:val="center"/>
        <w:rPr>
          <w:szCs w:val="30"/>
        </w:rPr>
      </w:pPr>
    </w:p>
    <w:p w:rsidR="005F2E60" w:rsidRDefault="00622E61">
      <w:pPr>
        <w:spacing w:after="0" w:line="283" w:lineRule="exact"/>
        <w:jc w:val="center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lastRenderedPageBreak/>
        <w:t xml:space="preserve">Направления деятельности органов и учреждений, осуществляющих государственный санитарный надзор, по усилению межведомственного взаимодействию с субъектами (объектами) социально-экономической деятельности на административных территориях  для достижения </w:t>
      </w:r>
    </w:p>
    <w:p w:rsidR="005F2E60" w:rsidRDefault="00622E61">
      <w:pPr>
        <w:spacing w:line="283" w:lineRule="exact"/>
        <w:jc w:val="center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 xml:space="preserve">показателя ЦУР 3.9.1. </w:t>
      </w:r>
    </w:p>
    <w:p w:rsidR="005F2E60" w:rsidRDefault="00622E61">
      <w:pPr>
        <w:spacing w:after="46"/>
        <w:jc w:val="both"/>
        <w:rPr>
          <w:rFonts w:cs="Times New Roman"/>
          <w:szCs w:val="30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Cs w:val="30"/>
        </w:rPr>
        <w:t>Задача межведомственного взаимодействия</w:t>
      </w:r>
      <w:r>
        <w:rPr>
          <w:rFonts w:cs="Times New Roman"/>
          <w:szCs w:val="30"/>
        </w:rPr>
        <w:t>: достижение к 2030 году устойчивого улучшения качества атмосферного воздуха посредством усиления межведомственного взаимодействия на региональном и местном уровнях для сокращения выбросов от стационарных и мобильных источников.</w:t>
      </w:r>
    </w:p>
    <w:p w:rsidR="005F2E60" w:rsidRDefault="005F2E60">
      <w:pPr>
        <w:jc w:val="both"/>
        <w:rPr>
          <w:rFonts w:cs="Times New Roman"/>
          <w:szCs w:val="30"/>
        </w:rPr>
      </w:pPr>
    </w:p>
    <w:tbl>
      <w:tblPr>
        <w:tblStyle w:val="12"/>
        <w:tblW w:w="14786" w:type="dxa"/>
        <w:tblLook w:val="04A0" w:firstRow="1" w:lastRow="0" w:firstColumn="1" w:lastColumn="0" w:noHBand="0" w:noVBand="1"/>
      </w:tblPr>
      <w:tblGrid>
        <w:gridCol w:w="7083"/>
        <w:gridCol w:w="3207"/>
        <w:gridCol w:w="2586"/>
        <w:gridCol w:w="1910"/>
      </w:tblGrid>
      <w:tr w:rsidR="005F2E60">
        <w:tc>
          <w:tcPr>
            <w:tcW w:w="7082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Области межведомственного взаимодействия:</w:t>
            </w:r>
          </w:p>
        </w:tc>
        <w:tc>
          <w:tcPr>
            <w:tcW w:w="3207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Ведомственная принадлежность </w:t>
            </w:r>
          </w:p>
        </w:tc>
        <w:tc>
          <w:tcPr>
            <w:tcW w:w="2586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Ориентировочные сроки достижения</w:t>
            </w:r>
          </w:p>
        </w:tc>
        <w:tc>
          <w:tcPr>
            <w:tcW w:w="1910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Обоснование </w:t>
            </w:r>
          </w:p>
        </w:tc>
      </w:tr>
      <w:tr w:rsidR="005F2E60">
        <w:tc>
          <w:tcPr>
            <w:tcW w:w="7082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szCs w:val="30"/>
              </w:rPr>
            </w:pPr>
            <w:r>
              <w:rPr>
                <w:rFonts w:cs="Times New Roman"/>
                <w:szCs w:val="30"/>
              </w:rPr>
              <w:t>Приоритетные задачи для устойчивого развития Минской области по показателю ЦУР 3.9.1.:</w:t>
            </w:r>
          </w:p>
          <w:p w:rsidR="005F2E60" w:rsidRDefault="00622E61">
            <w:pPr>
              <w:suppressLineNumbers/>
              <w:spacing w:after="0" w:line="240" w:lineRule="auto"/>
              <w:ind w:firstLine="624"/>
              <w:jc w:val="both"/>
              <w:rPr>
                <w:szCs w:val="30"/>
              </w:rPr>
            </w:pPr>
            <w:r>
              <w:rPr>
                <w:rFonts w:cs="Times New Roman"/>
                <w:szCs w:val="30"/>
              </w:rPr>
              <w:t>снижение выбросов в атмосферный воздух городов-промышленных центров загрязняющих веществ, по которым  фиксируются превышения предельно-допустимых концентраций суммарных твердых частиц;</w:t>
            </w:r>
          </w:p>
          <w:p w:rsidR="005F2E60" w:rsidRDefault="00622E61">
            <w:pPr>
              <w:suppressLineNumbers/>
              <w:spacing w:after="0" w:line="240" w:lineRule="auto"/>
              <w:ind w:firstLine="624"/>
              <w:jc w:val="both"/>
              <w:rPr>
                <w:szCs w:val="30"/>
              </w:rPr>
            </w:pPr>
            <w:r>
              <w:rPr>
                <w:rFonts w:cs="Times New Roman"/>
                <w:szCs w:val="30"/>
              </w:rPr>
              <w:t>снижение выбросов в атмосферный воздух от автотранспорта;</w:t>
            </w:r>
          </w:p>
          <w:p w:rsidR="005F2E60" w:rsidRDefault="00622E61">
            <w:pPr>
              <w:suppressLineNumbers/>
              <w:spacing w:after="0" w:line="240" w:lineRule="auto"/>
              <w:ind w:firstLine="624"/>
              <w:jc w:val="both"/>
              <w:rPr>
                <w:szCs w:val="30"/>
              </w:rPr>
            </w:pPr>
            <w:r>
              <w:rPr>
                <w:rFonts w:cs="Times New Roman"/>
                <w:szCs w:val="30"/>
              </w:rPr>
              <w:t>предотвращение превышений нормативов выбросов диоксида серы и окиси углерода  организациями топливно-энергетического комплекса малых городов</w:t>
            </w:r>
          </w:p>
        </w:tc>
        <w:tc>
          <w:tcPr>
            <w:tcW w:w="3207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szCs w:val="30"/>
              </w:rPr>
            </w:pPr>
            <w:r>
              <w:rPr>
                <w:rFonts w:cs="Times New Roman"/>
                <w:szCs w:val="30"/>
              </w:rPr>
              <w:t xml:space="preserve">Минский облисполком, </w:t>
            </w:r>
          </w:p>
          <w:p w:rsidR="005F2E60" w:rsidRDefault="00622E61">
            <w:pPr>
              <w:suppressLineNumbers/>
              <w:spacing w:after="0" w:line="240" w:lineRule="auto"/>
              <w:jc w:val="both"/>
              <w:rPr>
                <w:szCs w:val="30"/>
              </w:rPr>
            </w:pPr>
            <w:r>
              <w:rPr>
                <w:rFonts w:cs="Times New Roman"/>
                <w:szCs w:val="30"/>
              </w:rPr>
              <w:t>Комитет ПР и ООС, субъекты и объекты Минской области</w:t>
            </w:r>
          </w:p>
          <w:p w:rsidR="005F2E60" w:rsidRDefault="005F2E60">
            <w:pPr>
              <w:suppressLineNumbers/>
              <w:spacing w:after="0" w:line="240" w:lineRule="auto"/>
              <w:jc w:val="both"/>
              <w:rPr>
                <w:szCs w:val="30"/>
              </w:rPr>
            </w:pPr>
          </w:p>
        </w:tc>
        <w:tc>
          <w:tcPr>
            <w:tcW w:w="2586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szCs w:val="30"/>
              </w:rPr>
            </w:pPr>
            <w:r>
              <w:rPr>
                <w:rFonts w:cs="Times New Roman"/>
                <w:szCs w:val="30"/>
              </w:rPr>
              <w:t xml:space="preserve">Поэтапное </w:t>
            </w:r>
          </w:p>
          <w:p w:rsidR="005F2E60" w:rsidRDefault="00622E61">
            <w:pPr>
              <w:suppressLineNumbers/>
              <w:spacing w:after="0" w:line="240" w:lineRule="auto"/>
              <w:jc w:val="both"/>
              <w:rPr>
                <w:b/>
                <w:szCs w:val="30"/>
              </w:rPr>
            </w:pPr>
            <w:r>
              <w:rPr>
                <w:rFonts w:cs="Times New Roman"/>
                <w:szCs w:val="30"/>
              </w:rPr>
              <w:t>до 2025 года</w:t>
            </w:r>
          </w:p>
        </w:tc>
        <w:tc>
          <w:tcPr>
            <w:tcW w:w="1910" w:type="dxa"/>
          </w:tcPr>
          <w:p w:rsidR="005F2E60" w:rsidRDefault="00622E61">
            <w:pPr>
              <w:suppressLineNumbers/>
              <w:spacing w:after="0" w:line="240" w:lineRule="auto"/>
              <w:jc w:val="both"/>
              <w:rPr>
                <w:b/>
                <w:szCs w:val="30"/>
              </w:rPr>
            </w:pPr>
            <w:r>
              <w:rPr>
                <w:rFonts w:cs="Times New Roman"/>
                <w:szCs w:val="30"/>
              </w:rPr>
              <w:t>База данных НАН Беларуси</w:t>
            </w:r>
          </w:p>
        </w:tc>
      </w:tr>
    </w:tbl>
    <w:p w:rsidR="005F2E60" w:rsidRDefault="005F2E60">
      <w:pPr>
        <w:spacing w:after="0" w:line="240" w:lineRule="auto"/>
        <w:jc w:val="both"/>
        <w:rPr>
          <w:rFonts w:cs="Times New Roman"/>
          <w:b/>
          <w:szCs w:val="30"/>
        </w:rPr>
      </w:pPr>
    </w:p>
    <w:p w:rsidR="005F2E60" w:rsidRDefault="005F2E60">
      <w:pPr>
        <w:spacing w:after="0" w:line="240" w:lineRule="auto"/>
        <w:jc w:val="both"/>
        <w:rPr>
          <w:rFonts w:cs="Times New Roman"/>
          <w:b/>
          <w:szCs w:val="30"/>
        </w:rPr>
      </w:pPr>
    </w:p>
    <w:p w:rsidR="005F2E60" w:rsidRDefault="00622E61">
      <w:pPr>
        <w:spacing w:after="0" w:line="240" w:lineRule="auto"/>
        <w:jc w:val="center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lastRenderedPageBreak/>
        <w:t>Тематические направления информационной работы с населением для интеграции задач по достижению показателя ЦУР 3.9.1. с задачами по формированию здорового образа жизни (ФЗОЖ)</w:t>
      </w:r>
    </w:p>
    <w:p w:rsidR="005F2E60" w:rsidRDefault="005F2E60">
      <w:pPr>
        <w:spacing w:after="0"/>
        <w:jc w:val="center"/>
        <w:rPr>
          <w:rFonts w:cs="Times New Roman"/>
          <w:b/>
          <w:bCs/>
          <w:szCs w:val="30"/>
        </w:rPr>
      </w:pPr>
    </w:p>
    <w:p w:rsidR="005F2E60" w:rsidRDefault="00622E61">
      <w:pPr>
        <w:spacing w:after="0"/>
        <w:ind w:firstLine="680"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Цель интеграции достижения показателя ЦУР 3.9.1. с ФЗОЖ: </w:t>
      </w:r>
      <w:r>
        <w:rPr>
          <w:rFonts w:cs="Times New Roman"/>
          <w:bCs/>
          <w:szCs w:val="28"/>
        </w:rPr>
        <w:t>пропаганда участия населения в сокращении «углеродного следа» для  снижения выбросов в атмосферный воздух парниковых газов как фактора повышения загрязненности воздуха вне и внутри помещений и предупреждения дополнительных рисков здоровью.</w:t>
      </w:r>
    </w:p>
    <w:p w:rsidR="005F2E60" w:rsidRDefault="00622E61">
      <w:pPr>
        <w:spacing w:after="0"/>
        <w:ind w:firstLine="680"/>
        <w:jc w:val="both"/>
        <w:rPr>
          <w:b/>
          <w:bCs/>
        </w:rPr>
      </w:pPr>
      <w:r>
        <w:rPr>
          <w:b/>
          <w:bCs/>
        </w:rPr>
        <w:t>Тематические направления:</w:t>
      </w:r>
    </w:p>
    <w:p w:rsidR="005F2E60" w:rsidRDefault="00622E61">
      <w:pPr>
        <w:ind w:firstLine="680"/>
        <w:jc w:val="both"/>
      </w:pPr>
      <w:r>
        <w:t>сокращение использования индивидуального транспорта или переход на экологические виды с нулевыми выбросами;</w:t>
      </w:r>
    </w:p>
    <w:p w:rsidR="005F2E60" w:rsidRDefault="005F2E60">
      <w:pPr>
        <w:ind w:right="-144" w:firstLine="680"/>
      </w:pPr>
    </w:p>
    <w:p w:rsidR="005F2E60" w:rsidRDefault="005F2E60">
      <w:pPr>
        <w:ind w:right="-144" w:firstLine="680"/>
      </w:pPr>
    </w:p>
    <w:p w:rsidR="005F2E60" w:rsidRDefault="005F2E60">
      <w:pPr>
        <w:spacing w:after="0"/>
        <w:ind w:firstLine="680"/>
        <w:jc w:val="both"/>
        <w:rPr>
          <w:rFonts w:cs="Times New Roman"/>
          <w:bCs/>
          <w:szCs w:val="28"/>
        </w:rPr>
      </w:pPr>
    </w:p>
    <w:p w:rsidR="005F2E60" w:rsidRDefault="005F2E60">
      <w:pPr>
        <w:spacing w:after="0"/>
        <w:ind w:firstLine="680"/>
        <w:jc w:val="both"/>
        <w:rPr>
          <w:rFonts w:cs="Times New Roman"/>
          <w:bCs/>
          <w:szCs w:val="28"/>
        </w:rPr>
      </w:pPr>
    </w:p>
    <w:p w:rsidR="005F2E60" w:rsidRDefault="005F2E60">
      <w:pPr>
        <w:ind w:right="-144"/>
      </w:pPr>
    </w:p>
    <w:sectPr w:rsidR="005F2E60">
      <w:headerReference w:type="default" r:id="rId20"/>
      <w:footerReference w:type="default" r:id="rId21"/>
      <w:pgSz w:w="16838" w:h="11906" w:orient="landscape"/>
      <w:pgMar w:top="1418" w:right="567" w:bottom="849" w:left="1418" w:header="709" w:footer="709" w:gutter="0"/>
      <w:pgNumType w:start="33"/>
      <w:cols w:space="720"/>
      <w:formProt w:val="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C3" w:rsidRDefault="001571C3">
      <w:pPr>
        <w:spacing w:after="0" w:line="240" w:lineRule="auto"/>
      </w:pPr>
      <w:r>
        <w:separator/>
      </w:r>
    </w:p>
  </w:endnote>
  <w:endnote w:type="continuationSeparator" w:id="0">
    <w:p w:rsidR="001571C3" w:rsidRDefault="0015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C3" w:rsidRDefault="001571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C3" w:rsidRDefault="001571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C3" w:rsidRDefault="001571C3">
      <w:pPr>
        <w:spacing w:after="0" w:line="240" w:lineRule="auto"/>
      </w:pPr>
      <w:r>
        <w:separator/>
      </w:r>
    </w:p>
  </w:footnote>
  <w:footnote w:type="continuationSeparator" w:id="0">
    <w:p w:rsidR="001571C3" w:rsidRDefault="0015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C3" w:rsidRDefault="001571C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92AC3">
      <w:rPr>
        <w:noProof/>
      </w:rPr>
      <w:t>6</w:t>
    </w:r>
    <w:r>
      <w:fldChar w:fldCharType="end"/>
    </w:r>
  </w:p>
  <w:p w:rsidR="001571C3" w:rsidRDefault="001571C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C3" w:rsidRDefault="001571C3">
    <w:pPr>
      <w:pStyle w:val="ad"/>
    </w:pPr>
    <w:r>
      <w:t xml:space="preserve">                                                                                              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C3" w:rsidRDefault="001571C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92AC3">
      <w:rPr>
        <w:noProof/>
      </w:rPr>
      <w:t>40</w:t>
    </w:r>
    <w:r>
      <w:fldChar w:fldCharType="end"/>
    </w:r>
  </w:p>
  <w:p w:rsidR="001571C3" w:rsidRDefault="001571C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C02"/>
    <w:multiLevelType w:val="multilevel"/>
    <w:tmpl w:val="50CE831C"/>
    <w:lvl w:ilvl="0">
      <w:start w:val="1"/>
      <w:numFmt w:val="upperRoman"/>
      <w:lvlText w:val="%1."/>
      <w:lvlJc w:val="left"/>
      <w:pPr>
        <w:ind w:left="2110" w:hanging="975"/>
      </w:pPr>
    </w:lvl>
    <w:lvl w:ilvl="1">
      <w:start w:val="69"/>
      <w:numFmt w:val="decimal"/>
      <w:lvlText w:val="%1.%2."/>
      <w:lvlJc w:val="left"/>
      <w:pPr>
        <w:ind w:left="4691" w:hanging="720"/>
      </w:pPr>
    </w:lvl>
    <w:lvl w:ilvl="2">
      <w:start w:val="1"/>
      <w:numFmt w:val="decimal"/>
      <w:lvlText w:val="%1.%2.%3."/>
      <w:lvlJc w:val="left"/>
      <w:pPr>
        <w:ind w:left="4691" w:hanging="720"/>
      </w:pPr>
    </w:lvl>
    <w:lvl w:ilvl="3">
      <w:start w:val="1"/>
      <w:numFmt w:val="decimal"/>
      <w:lvlText w:val="%1.%2.%3.%4."/>
      <w:lvlJc w:val="left"/>
      <w:pPr>
        <w:ind w:left="5051" w:hanging="1080"/>
      </w:pPr>
    </w:lvl>
    <w:lvl w:ilvl="4">
      <w:start w:val="1"/>
      <w:numFmt w:val="decimal"/>
      <w:lvlText w:val="%1.%2.%3.%4.%5."/>
      <w:lvlJc w:val="left"/>
      <w:pPr>
        <w:ind w:left="5051" w:hanging="1080"/>
      </w:pPr>
    </w:lvl>
    <w:lvl w:ilvl="5">
      <w:start w:val="1"/>
      <w:numFmt w:val="decimal"/>
      <w:lvlText w:val="%1.%2.%3.%4.%5.%6."/>
      <w:lvlJc w:val="left"/>
      <w:pPr>
        <w:ind w:left="5411" w:hanging="1440"/>
      </w:pPr>
    </w:lvl>
    <w:lvl w:ilvl="6">
      <w:start w:val="1"/>
      <w:numFmt w:val="decimal"/>
      <w:lvlText w:val="%1.%2.%3.%4.%5.%6.%7."/>
      <w:lvlJc w:val="left"/>
      <w:pPr>
        <w:ind w:left="5771" w:hanging="1800"/>
      </w:pPr>
    </w:lvl>
    <w:lvl w:ilvl="7">
      <w:start w:val="1"/>
      <w:numFmt w:val="decimal"/>
      <w:lvlText w:val="%1.%2.%3.%4.%5.%6.%7.%8."/>
      <w:lvlJc w:val="left"/>
      <w:pPr>
        <w:ind w:left="5771" w:hanging="1800"/>
      </w:pPr>
    </w:lvl>
    <w:lvl w:ilvl="8">
      <w:start w:val="1"/>
      <w:numFmt w:val="decimal"/>
      <w:lvlText w:val="%1.%2.%3.%4.%5.%6.%7.%8.%9."/>
      <w:lvlJc w:val="left"/>
      <w:pPr>
        <w:ind w:left="6131" w:hanging="2160"/>
      </w:pPr>
    </w:lvl>
  </w:abstractNum>
  <w:abstractNum w:abstractNumId="1" w15:restartNumberingAfterBreak="0">
    <w:nsid w:val="22B82B27"/>
    <w:multiLevelType w:val="multilevel"/>
    <w:tmpl w:val="4E569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E60"/>
    <w:rsid w:val="001571C3"/>
    <w:rsid w:val="00292AC3"/>
    <w:rsid w:val="005F2E60"/>
    <w:rsid w:val="00622E61"/>
    <w:rsid w:val="00683939"/>
    <w:rsid w:val="007A0062"/>
    <w:rsid w:val="00C235D8"/>
    <w:rsid w:val="00C36EB8"/>
    <w:rsid w:val="00D7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C2C62-478A-4F97-84F9-4975DE1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30"/>
      <w:szCs w:val="22"/>
      <w:lang w:eastAsia="en-US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qFormat/>
  </w:style>
  <w:style w:type="character" w:customStyle="1" w:styleId="a6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1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Без интервала Знак"/>
    <w:qFormat/>
    <w:rPr>
      <w:rFonts w:eastAsia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20">
    <w:name w:val="Заголовок №2"/>
    <w:basedOn w:val="a1"/>
    <w:qFormat/>
    <w:rPr>
      <w:rFonts w:ascii="Arial Narrow" w:eastAsia="Arial Narrow" w:hAnsi="Arial Narrow" w:cs="Arial Narrow"/>
      <w:color w:val="FFFFFF"/>
      <w:spacing w:val="-10"/>
      <w:w w:val="100"/>
      <w:sz w:val="88"/>
      <w:szCs w:val="88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qFormat/>
    <w:pPr>
      <w:spacing w:after="0"/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qFormat/>
    <w:pPr>
      <w:widowControl w:val="0"/>
      <w:spacing w:line="343" w:lineRule="exact"/>
      <w:ind w:firstLine="691"/>
      <w:jc w:val="both"/>
    </w:pPr>
    <w:rPr>
      <w:rFonts w:eastAsia="MS Mincho" w:cs="Times New Roman"/>
      <w:sz w:val="24"/>
      <w:szCs w:val="24"/>
      <w:lang w:eastAsia="ru-RU"/>
    </w:rPr>
  </w:style>
  <w:style w:type="paragraph" w:styleId="af0">
    <w:name w:val="No Spacing"/>
    <w:qFormat/>
    <w:pPr>
      <w:suppressAutoHyphens/>
      <w:spacing w:after="160" w:line="259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customStyle="1" w:styleId="12">
    <w:name w:val="Сетка таблицы1"/>
    <w:basedOn w:val="a2"/>
    <w:uiPriority w:val="59"/>
    <w:rsid w:val="002118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21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80;&#1089;&#1083;&#1086;&#1088;&#1086;&#1076;" TargetMode="External"/><Relationship Id="rId13" Type="http://schemas.openxmlformats.org/officeDocument/2006/relationships/hyperlink" Target="https://ru.wikipedia.org/wiki/&#1052;&#1077;&#1090;&#1072;&#1085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ru.wikipedia.org/wiki/&#1040;&#1079;&#1086;&#1090;" TargetMode="External"/><Relationship Id="rId12" Type="http://schemas.openxmlformats.org/officeDocument/2006/relationships/hyperlink" Target="https://ru.wikipedia.org/wiki/&#1050;&#1088;&#1080;&#1087;&#1090;&#1086;&#1085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0;&#1089;&#1077;&#1085;&#1086;&#1085;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53;&#1077;&#1086;&#108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&#1042;&#1086;&#1076;&#1086;&#1088;&#1086;&#1076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&#1059;&#1075;&#1083;&#1077;&#1082;&#1080;&#1089;&#1083;&#1099;&#1081;_&#1075;&#1072;&#1079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0;&#1088;&#1075;&#1086;&#1085;" TargetMode="External"/><Relationship Id="rId14" Type="http://schemas.openxmlformats.org/officeDocument/2006/relationships/hyperlink" Target="https://ru.wikipedia.org/wiki/&#1043;&#1077;&#1083;&#1080;&#1081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19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Спургяш</dc:creator>
  <dc:description/>
  <cp:lastModifiedBy>Регина Эдмундовна</cp:lastModifiedBy>
  <cp:revision>228</cp:revision>
  <cp:lastPrinted>2020-10-28T11:58:00Z</cp:lastPrinted>
  <dcterms:created xsi:type="dcterms:W3CDTF">2019-09-09T12:44:00Z</dcterms:created>
  <dcterms:modified xsi:type="dcterms:W3CDTF">2021-07-28T11:35:00Z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1049-11.2.0.9150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